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a224d00894aa0" /></Relationships>
</file>

<file path=word/document.xml><?xml version="1.0" encoding="utf-8"?>
<w:document xmlns:w="http://schemas.openxmlformats.org/wordprocessingml/2006/main">
  <w:body>
    <w:p>
      <w:r>
        <w:rPr>
          <w:b/>
        </w:rPr>
        <w:r>
          <w:rPr/>
          <w:t xml:space="preserve">2983-S</w:t>
        </w:r>
      </w:r>
      <w:r>
        <w:rPr>
          <w:b/>
        </w:rPr>
        <w:t xml:space="preserve"> </w:t>
        <w:t xml:space="preserve">AMH</w:t>
      </w:r>
      <w:r>
        <w:rPr>
          <w:b/>
        </w:rPr>
        <w:t xml:space="preserve"> </w:t>
        <w:r>
          <w:rPr/>
          <w:t xml:space="preserve">CLIB</w:t>
        </w:r>
      </w:r>
      <w:r>
        <w:rPr>
          <w:b/>
        </w:rPr>
        <w:t xml:space="preserve"> </w:t>
        <w:r>
          <w:rPr/>
          <w:t xml:space="preserve">H4796.2</w:t>
        </w:r>
      </w:r>
      <w:r>
        <w:rPr>
          <w:b/>
        </w:rPr>
        <w:t xml:space="preserve"> - NOT FOR FLOOR USE</w:t>
      </w:r>
    </w:p>
    <w:p>
      <w:pPr>
        <w:ind w:left="0" w:right="0" w:firstLine="576"/>
      </w:pPr>
    </w:p>
    <w:p>
      <w:pPr>
        <w:spacing w:before="480" w:after="0" w:line="408" w:lineRule="exact"/>
      </w:pPr>
      <w:r>
        <w:rPr>
          <w:b/>
          <w:u w:val="single"/>
        </w:rPr>
        <w:t xml:space="preserve">SHB 2983</w:t>
      </w:r>
      <w:r>
        <w:t xml:space="preserve"> -</w:t>
      </w:r>
      <w:r>
        <w:t xml:space="preserve"> </w:t>
        <w:t xml:space="preserve">H AMD</w:t>
      </w:r>
      <w:r>
        <w:t xml:space="preserve"> </w:t>
      </w:r>
      <w:r>
        <w:rPr>
          <w:b/>
        </w:rPr>
        <w:t xml:space="preserve">1012</w:t>
      </w:r>
    </w:p>
    <w:p>
      <w:pPr>
        <w:spacing w:before="0" w:after="0" w:line="408" w:lineRule="exact"/>
        <w:ind w:left="0" w:right="0" w:firstLine="576"/>
        <w:jc w:val="left"/>
      </w:pPr>
      <w:r>
        <w:rPr/>
        <w:t xml:space="preserve">By Representative Clibborn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7 through 12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w:t>
      </w:r>
      <w:r>
        <w:t>((</w:t>
      </w:r>
      <w:r>
        <w:rPr>
          <w:strike/>
        </w:rPr>
        <w:t xml:space="preserve">may recommend to the board of pilotage commissioners</w:t>
      </w:r>
      <w:r>
        <w:t>))</w:t>
      </w:r>
      <w:r>
        <w:rPr/>
        <w:t xml:space="preserve"> </w:t>
      </w:r>
      <w:r>
        <w:rPr>
          <w:u w:val="single"/>
        </w:rPr>
        <w:t xml:space="preserve">shall periodically establish pilotage tariffs for pilotage services provided under this chapter. The</w:t>
      </w:r>
      <w:r>
        <w:rPr/>
        <w:t xml:space="preserve"> rules of service, rates, and tariffs </w:t>
      </w:r>
      <w:r>
        <w:t>((</w:t>
      </w:r>
      <w:r>
        <w:rPr>
          <w:strike/>
        </w:rPr>
        <w:t xml:space="preserve">governing its pilotage services for consideration and adoption pursuant to RCW 88.16.035. The rules, rates, and tariffs recommended</w:t>
      </w:r>
      <w:r>
        <w:t>))</w:t>
      </w:r>
      <w:r>
        <w:rPr/>
        <w:t xml:space="preserve"> </w:t>
      </w:r>
      <w:r>
        <w:rPr>
          <w:u w:val="single"/>
        </w:rPr>
        <w:t xml:space="preserve">to be adopted</w:t>
      </w:r>
      <w:r>
        <w:rPr/>
        <w:t xml:space="preserve"> by the port district must have been approved in open meetings of the port district </w:t>
      </w:r>
      <w:r>
        <w:t>((</w:t>
      </w:r>
      <w:r>
        <w:rPr>
          <w:strike/>
        </w:rPr>
        <w:t xml:space="preserve">ten</w:t>
      </w:r>
      <w:r>
        <w:t>))</w:t>
      </w:r>
      <w:r>
        <w:rPr/>
        <w:t xml:space="preserve"> </w:t>
      </w:r>
      <w:r>
        <w:rPr>
          <w:u w:val="single"/>
        </w:rPr>
        <w:t xml:space="preserve">thirty</w:t>
      </w:r>
      <w:r>
        <w:rPr/>
        <w:t xml:space="preserve"> or more days after published notice in a newspaper of general circulation and </w:t>
      </w:r>
      <w:r>
        <w:t>((</w:t>
      </w:r>
      <w:r>
        <w:rPr>
          <w:strike/>
        </w:rPr>
        <w:t xml:space="preserve">after mailing a copy of the notice to the chair of the board of pilotage commissioners</w:t>
      </w:r>
      <w:r>
        <w:t>))</w:t>
      </w:r>
      <w:r>
        <w:rPr/>
        <w:t xml:space="preserve"> </w:t>
      </w:r>
      <w:r>
        <w:rPr>
          <w:u w:val="single"/>
        </w:rPr>
        <w:t xml:space="preserve">following a public hearing</w:t>
      </w:r>
      <w:r>
        <w:rPr/>
        <w:t xml:space="preserve">. </w:t>
      </w:r>
      <w:r>
        <w:rPr>
          <w:u w:val="single"/>
        </w:rPr>
        <w:t xml:space="preserve">The port district shall release its pilotage budget, including the five year capital spending plan, prior year pilotage financial statement, and the proposed pilotage tariff, no later than thirty days prior to a public hearing. The port district shall receive public comments for thirty days before the port district commission may adopt and approve the pilotage tariff. The port district must file the pilotage tariff with the utilities and transportation commission and the board of pilotage commissioners no later than thirty days following the approval of the pilotage tariff by the port district commission. Rules of service adopted by the port district may not conflict with chapter 88.16 RCW or any rules adopted by the board of pilotage commissioners under that chapter's authority. </w:t>
      </w:r>
    </w:p>
    <w:p>
      <w:pPr>
        <w:spacing w:before="0" w:after="0" w:line="408" w:lineRule="exact"/>
        <w:ind w:left="0" w:right="0" w:firstLine="576"/>
        <w:jc w:val="left"/>
      </w:pPr>
      <w:r>
        <w:rPr>
          <w:u w:val="single"/>
        </w:rPr>
        <w:t xml:space="preserve">(b) The port district must include a pension charge in its tariff until such time as the pilot retirement agreement expenses for Grays Harbor pilotage district pilots employed prior to October 1, 2001, are no longer owed. The port district shall determine the pension charge owed as pilot retirement agreement expenses. The pension charge must be sufficient to cover costs associated with the pilot retirement agreement expenses for Grays Harbor pilots employed prior to October 1, 2001. The revenue collected from the pension charge must be deposited into an account maintained by the port district solely for the pilot retirement agreement expenses of the Grays Harbor pilots employed prior to October 1, 2001.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7 through 12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7 through 12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7 through 12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7 through 12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 under the provisions of this chapter</w:t>
      </w:r>
      <w:r>
        <w:t>))</w:t>
      </w:r>
      <w:r>
        <w:rPr/>
        <w:t xml:space="preserve"> </w:t>
      </w:r>
      <w:r>
        <w:rPr>
          <w:u w:val="single"/>
        </w:rPr>
        <w:t xml:space="preserve">established by the utilities and transportation commission under sections 7 through 12 of this act</w:t>
      </w:r>
      <w:r>
        <w:rPr/>
        <w:t xml:space="preserve">.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and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considering the infrastructure and equipment assets, the nature of business operations, safety equipment and training, and investments necessary to maintain efficient, safe, and competent pilotage service and operations.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In setting tariffs, the commission must include a tariff surcharge to fund the stipend the board of pilotage commissioners is authorized to pay to pilot trainees and to use in its pilot training program under RCW 88.16.035. The commission must also include in the tariff the collection of revenue sufficient to fund the self-insurance liability premium expenditures of the board of pilotage commissioners through June 30, 2023, to the extent payment contribution from the tariff is required of the board of pilotage commissioners by the legislature in the omnibus transportation appropriations act. As an element of the Puget Sound pilotage district tariff, the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 and no earlier than one year following the effective date the tariffs in effect at the time of filing were established.</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8(3)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8(2)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marine pilotage tariff setting account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marine pilotage tariff setting account is created in the state treasury. All receipts designated, credited, or transferred to the marine pilotage tariff setting account must be deposited in the account. Moneys in the account may be spent only after appropriation. Expenditures from the account may be used for the purposes of the commission for pilotage tariff setting, as prescribed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w:t>
      </w:r>
      <w:r>
        <w:rPr>
          <w:u w:val="single"/>
        </w:rPr>
        <w:t xml:space="preserve">the marine pilotage tariff setting account,</w:t>
      </w:r>
      <w:r>
        <w:rPr/>
        <w:t xml:space="preserve">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13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8 of this act prior to July 1, 2019, and may accept tariff filings from a person with a substantial interest beginning thirty days after the effective date of these adopted rules. The utilities and transportation commission must suspend a tariff filing made before July 1, 2019, within thirty days of receipt of the filing. Any tariff filings made under this section may not take effect until after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16 of this act, this act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regulation of marine pilotage tariffs:</w:t>
      </w:r>
    </w:p>
    <w:p>
      <w:pPr>
        <w:spacing w:before="0" w:after="0" w:line="408" w:lineRule="exact"/>
        <w:ind w:left="0" w:right="0" w:firstLine="576"/>
        <w:jc w:val="left"/>
      </w:pPr>
      <w:r>
        <w:rPr/>
        <w:t xml:space="preserve">(1) Authorizes the Utilities and Transportation Commission (UTC) to accept tariff filings from persons with a substantial interest beginning 30 days after the effective date of UTC-adopted rules for tariff setting, but requires that the UTC suspend any tariff filing made before July 1, 2019, to prevent the filing from taking effect prior to July 1, 2019;</w:t>
      </w:r>
    </w:p>
    <w:p>
      <w:pPr>
        <w:spacing w:before="0" w:after="0" w:line="408" w:lineRule="exact"/>
        <w:ind w:left="0" w:right="0" w:firstLine="576"/>
        <w:jc w:val="left"/>
      </w:pPr>
      <w:r>
        <w:rPr/>
        <w:t xml:space="preserve">(2) Aligns when a person with a substantial interest may file a revised tariff petition with the UTC with the requirement that the UTC may not change tariff rates more frequently than on an annual basis;</w:t>
      </w:r>
    </w:p>
    <w:p>
      <w:pPr>
        <w:spacing w:before="0" w:after="0" w:line="408" w:lineRule="exact"/>
        <w:ind w:left="0" w:right="0" w:firstLine="576"/>
        <w:jc w:val="left"/>
      </w:pPr>
      <w:r>
        <w:rPr/>
        <w:t xml:space="preserve">(3) Specifies that rules of services established by a port district may not conflict with laws or administrative rules governing marine pilotage; and</w:t>
      </w:r>
    </w:p>
    <w:p>
      <w:pPr>
        <w:spacing w:before="0" w:after="0" w:line="408" w:lineRule="exact"/>
        <w:ind w:left="0" w:right="0" w:firstLine="576"/>
        <w:jc w:val="left"/>
      </w:pPr>
      <w:r>
        <w:rPr/>
        <w:t xml:space="preserve">(4) Clarifies that legislative direction could be provided to the Board of Pilotage Commissioners regarding tariff payment contribution to the self-insurance liability premium in the Omnibus Transportation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33ecc29724ee6" /></Relationships>
</file>