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53ba70feb4991" /></Relationships>
</file>

<file path=word/document.xml><?xml version="1.0" encoding="utf-8"?>
<w:document xmlns:w="http://schemas.openxmlformats.org/wordprocessingml/2006/main">
  <w:body>
    <w:p>
      <w:r>
        <w:rPr>
          <w:b/>
        </w:rPr>
        <w:r>
          <w:rPr/>
          <w:t xml:space="preserve">5106-S.E</w:t>
        </w:r>
      </w:r>
      <w:r>
        <w:rPr>
          <w:b/>
        </w:rPr>
        <w:t xml:space="preserve"> </w:t>
        <w:t xml:space="preserve">AMH</w:t>
      </w:r>
      <w:r>
        <w:rPr>
          <w:b/>
        </w:rPr>
        <w:t xml:space="preserve"> </w:t>
        <w:r>
          <w:rPr/>
          <w:t xml:space="preserve">JINK</w:t>
        </w:r>
      </w:r>
      <w:r>
        <w:rPr>
          <w:b/>
        </w:rPr>
        <w:t xml:space="preserve"> </w:t>
        <w:r>
          <w:rPr/>
          <w:t xml:space="preserve">H2734.2</w:t>
        </w:r>
      </w:r>
      <w:r>
        <w:rPr>
          <w:b/>
        </w:rPr>
        <w:t xml:space="preserve"> - NOT FOR FLOOR USE</w:t>
      </w:r>
    </w:p>
    <w:p>
      <w:pPr>
        <w:ind w:left="0" w:right="0" w:firstLine="576"/>
      </w:pPr>
    </w:p>
    <w:p>
      <w:pPr>
        <w:spacing w:before="480" w:after="0" w:line="408" w:lineRule="exact"/>
      </w:pPr>
      <w:r>
        <w:rPr>
          <w:b/>
          <w:u w:val="single"/>
        </w:rPr>
        <w:t xml:space="preserve">ESSB 5106</w:t>
      </w:r>
      <w:r>
        <w:t xml:space="preserve"> -</w:t>
      </w:r>
      <w:r>
        <w:t xml:space="preserve"> </w:t>
        <w:t xml:space="preserve">H AMD</w:t>
      </w:r>
      <w:r>
        <w:t xml:space="preserve"> </w:t>
      </w:r>
      <w:r>
        <w:rPr>
          <w:b/>
        </w:rPr>
        <w:t xml:space="preserve">571</w:t>
      </w:r>
    </w:p>
    <w:p>
      <w:pPr>
        <w:spacing w:before="0" w:after="0" w:line="408" w:lineRule="exact"/>
        <w:ind w:left="0" w:right="0" w:firstLine="576"/>
        <w:jc w:val="left"/>
      </w:pPr>
      <w:r>
        <w:rPr/>
        <w:t xml:space="preserve">By Representative Jinkins</w:t>
      </w:r>
    </w:p>
    <w:p>
      <w:pPr>
        <w:jc w:val="right"/>
      </w:pPr>
      <w:r>
        <w:rPr>
          <w:b/>
        </w:rPr>
        <w:t xml:space="preserve">ADOPTED 04/20/2017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mental health professional or designated mental health professional agency must refer the immediate family member, guardian, or conservator to a web site where published information on the petition process may be accessed. The designated mental health professional or designated mental health professional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and publish on its web site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w:t>
      </w:r>
      <w:r>
        <w:rPr>
          <w:u w:val="single"/>
        </w:rPr>
        <w:t xml:space="preserve">(a)(i)</w:t>
      </w:r>
      <w:r>
        <w:rPr/>
        <w:t xml:space="preserve">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persons signing the petition must have examined the person.</w:t>
      </w:r>
    </w:p>
    <w:p>
      <w:pPr>
        <w:spacing w:before="0" w:after="0" w:line="408" w:lineRule="exact"/>
        <w:ind w:left="0" w:right="0" w:firstLine="576"/>
        <w:jc w:val="left"/>
      </w:pPr>
      <w:r>
        <w:rPr>
          <w:u w:val="single"/>
        </w:rPr>
        <w:t xml:space="preserve">(b)</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w:t>
      </w:r>
      <w:r>
        <w:rPr>
          <w:u w:val="single"/>
        </w:rPr>
        <w:t xml:space="preserve">(a)(i)</w:t>
      </w:r>
      <w:r>
        <w:rPr/>
        <w:t xml:space="preserve">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w:t>
      </w:r>
    </w:p>
    <w:p>
      <w:pPr>
        <w:spacing w:before="0" w:after="0" w:line="408" w:lineRule="exact"/>
        <w:ind w:left="0" w:right="0" w:firstLine="576"/>
        <w:jc w:val="left"/>
      </w:pPr>
      <w:r>
        <w:rPr>
          <w:u w:val="single"/>
        </w:rPr>
        <w:t xml:space="preserve">(b)</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2016 sp.s. c 29 s 236 and 2016 c 155 s 7 are each reenacted and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w:t>
      </w:r>
      <w:r>
        <w:t>((</w:t>
      </w:r>
      <w:r>
        <w:rPr>
          <w:strike/>
        </w:rPr>
        <w:t xml:space="preserve">or</w:t>
      </w:r>
      <w:r>
        <w:t>))</w:t>
      </w:r>
      <w:r>
        <w:rPr/>
        <w:t xml:space="preserve"> psychiatrist, </w:t>
      </w:r>
      <w:r>
        <w:rPr>
          <w:u w:val="single"/>
        </w:rPr>
        <w:t xml:space="preserve">or other professional person,</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2016 sp.s. c 29 s 244 and 2016 c 155 s 8 are each reenacted and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detoxification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detoxification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w:t>
      </w:r>
      <w:r>
        <w:t>((</w:t>
      </w:r>
      <w:r>
        <w:rPr>
          <w:strike/>
        </w:rPr>
        <w:t xml:space="preserve">licensed mental health</w:t>
      </w:r>
      <w:r>
        <w:t>))</w:t>
      </w:r>
      <w:r>
        <w:rPr/>
        <w:t xml:space="preserve"> </w:t>
      </w:r>
      <w:r>
        <w:rPr>
          <w:u w:val="single"/>
        </w:rPr>
        <w:t xml:space="preserve">other</w:t>
      </w:r>
      <w:r>
        <w:rPr/>
        <w:t xml:space="preserve"> professional </w:t>
      </w:r>
      <w:r>
        <w:rPr>
          <w:u w:val="single"/>
        </w:rPr>
        <w:t xml:space="preserve">person</w:t>
      </w:r>
      <w:r>
        <w:rPr/>
        <w:t xml:space="preserve">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 </w:t>
      </w:r>
      <w:r>
        <w:rPr>
          <w:u w:val="single"/>
        </w:rPr>
        <w:t xml:space="preserve">In addition, the department shall ensure that an additional sixteen-bed secure detoxification facility is operational by April 1st of each year beginning in 2020 until there is adequate capacity to meet the involuntary treatment requirements for substance use disorder clients.</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21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designated mental health professional (DMHP) or DMHP agency to provide an immediate family member, guardian, or conservator with written or electronic information about the process to petition for court review when the DMHP does not detain a person after a request for investigation. If written or electronic information is not feasible, requires the DMHP or DMHP agency to refer the person to a web site where information about the petition process may be accessed. Requires the DMHP to document the manner and date on which the required information is provided.</w:t>
      </w:r>
    </w:p>
    <w:p>
      <w:pPr>
        <w:spacing w:before="0" w:after="0" w:line="408" w:lineRule="exact"/>
        <w:ind w:left="0" w:right="0" w:firstLine="576"/>
        <w:jc w:val="left"/>
      </w:pPr>
      <w:r>
        <w:rPr/>
        <w:t xml:space="preserve">Removes a provision stating that the requirement for a designated mental health professional to consult with and take serious consideration of the observations and opinions of an examining emergency room physician, advanced registered nurse practitioner, or physician assistant as to whether a person should be detained does not create an exception to the general rule stated in the Involuntary Treatment Act (ITA) that courts should decide ITA petitions on their merits in light of the state's police power interest in protecting the safety of individuals and the public.</w:t>
      </w:r>
    </w:p>
    <w:p>
      <w:pPr>
        <w:spacing w:before="0" w:after="0" w:line="408" w:lineRule="exact"/>
        <w:ind w:left="0" w:right="0" w:firstLine="576"/>
        <w:jc w:val="left"/>
      </w:pPr>
      <w:r>
        <w:rPr/>
        <w:t xml:space="preserve">Under the chemical dependency commitment laws in effect until April 1, 2018, replaces chemical dependency professionals with designated chemical dependency specialists in the list of professionals that may examine a person and sign a commitment petition for a person who is in need of substance use disorder treatment.</w:t>
      </w:r>
    </w:p>
    <w:p>
      <w:pPr>
        <w:spacing w:before="0" w:after="0" w:line="408" w:lineRule="exact"/>
        <w:ind w:left="0" w:right="0" w:firstLine="576"/>
        <w:jc w:val="left"/>
      </w:pPr>
      <w:r>
        <w:rPr/>
        <w:t xml:space="preserve">Clarifies that a chemical dependency professional may evaluate a person and sign a commitment petition only in the case of a person who is being evaluated or detained for substance use disorder treatment and provides that psychiatric advanced registered nurse practitioners, rather than advanced registered nurse practitioners, may sign commitment petitions for persons who may be in need of mental health treatment.</w:t>
      </w:r>
    </w:p>
    <w:p>
      <w:pPr>
        <w:spacing w:before="0" w:after="0" w:line="408" w:lineRule="exact"/>
        <w:ind w:left="0" w:right="0" w:firstLine="576"/>
        <w:jc w:val="left"/>
      </w:pPr>
      <w:r>
        <w:rPr/>
        <w:t xml:space="preserve">Amends the statute governing petitions for 90-day involuntary treatment commitments to be consistent with changes made to the statutes governing petitions for 14-day commitments.</w:t>
      </w:r>
    </w:p>
    <w:p>
      <w:pPr>
        <w:spacing w:before="0" w:after="0" w:line="408" w:lineRule="exact"/>
        <w:ind w:left="0" w:right="0" w:firstLine="576"/>
        <w:jc w:val="left"/>
      </w:pPr>
      <w:r>
        <w:rPr/>
        <w:t xml:space="preserve">Adds physician assistants working with a supervising psychiatrist to a section designating the mental health professionals that may qualify as designated crisis responders for the purposes of the involuntary mental health and substance use disorder treatment systems.</w:t>
      </w:r>
    </w:p>
    <w:p>
      <w:pPr>
        <w:spacing w:before="0" w:after="0" w:line="408" w:lineRule="exact"/>
        <w:ind w:left="0" w:right="0" w:firstLine="576"/>
        <w:jc w:val="left"/>
      </w:pPr>
      <w:r>
        <w:rPr/>
        <w:t xml:space="preserve">Requires the Department of Social and Health Services to ensure that an additional secure detoxification facility is operational by April 1st of each year beginning in 2020 until there is adequate capacity to meet the involuntary treatment requirements for substance use disorder clients.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19c4ecfe441b5" /></Relationships>
</file>