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1242838884e84" /></Relationships>
</file>

<file path=word/document.xml><?xml version="1.0" encoding="utf-8"?>
<w:document xmlns:w="http://schemas.openxmlformats.org/wordprocessingml/2006/main">
  <w:body>
    <w:p>
      <w:r>
        <w:rPr>
          <w:b/>
        </w:rPr>
        <w:r>
          <w:rPr/>
          <w:t xml:space="preserve">5289-S</w:t>
        </w:r>
      </w:r>
      <w:r>
        <w:rPr>
          <w:b/>
        </w:rPr>
        <w:t xml:space="preserve"> </w:t>
        <w:t xml:space="preserve">AMH</w:t>
      </w:r>
      <w:r>
        <w:rPr>
          <w:b/>
        </w:rPr>
        <w:t xml:space="preserve"> </w:t>
        <w:r>
          <w:rPr/>
          <w:t xml:space="preserve">ENGR</w:t>
        </w:r>
      </w:r>
      <w:r>
        <w:rPr>
          <w:b/>
        </w:rPr>
        <w:t xml:space="preserve"> </w:t>
        <w:r>
          <w:rPr/>
          <w:t xml:space="preserve">H2609.E</w:t>
        </w:r>
      </w:r>
      <w:r>
        <w:rPr>
          <w:b/>
        </w:rPr>
        <w:t xml:space="preserve"> - NOT FOR FLOOR USE</w:t>
      </w:r>
    </w:p>
    <w:p>
      <w:pPr>
        <w:ind w:left="0" w:right="0" w:firstLine="576"/>
      </w:pPr>
    </w:p>
    <w:p>
      <w:pPr>
        <w:spacing w:before="480" w:after="0" w:line="408" w:lineRule="exact"/>
      </w:pPr>
      <w:r>
        <w:rPr>
          <w:b/>
          <w:u w:val="single"/>
        </w:rPr>
        <w:t xml:space="preserve">SSB 5289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A finding that a person has committed an offense under this section, if that offense is the first such offense committed within five years, must not be made available to insurance companies.</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w:t>
      </w:r>
      <w:r>
        <w:t>((</w:t>
      </w:r>
      <w:r>
        <w:rPr>
          <w:strike/>
        </w:rPr>
        <w:t xml:space="preserve">handheld wireless communications device [handheld mobile telephone], defined as a violation of RCW 46.61.667(1)(b)</w:t>
      </w:r>
      <w:r>
        <w:t>))</w:t>
      </w:r>
      <w:r>
        <w:rPr/>
        <w:t xml:space="preserve"> </w:t>
      </w:r>
      <w:r>
        <w:rPr>
          <w:u w:val="single"/>
        </w:rPr>
        <w:t xml:space="preserve">personal electronic device, defined as a violation of section 1 of this act, which includes in the activities it prohibits driving while holding a personal electronic device in either or both hands and using a hand or finger for texting,</w:t>
      </w:r>
      <w:r>
        <w:rPr/>
        <w:t xml:space="preserve"> or an equivalent administrative rule or local law, ordinance, rule, or resolution;</w:t>
      </w:r>
    </w:p>
    <w:p>
      <w:pPr>
        <w:spacing w:before="0" w:after="0" w:line="408" w:lineRule="exact"/>
        <w:ind w:left="0" w:right="0" w:firstLine="576"/>
        <w:jc w:val="left"/>
      </w:pPr>
      <w:r>
        <w:rPr/>
        <w:t xml:space="preserve">(d) </w:t>
      </w:r>
      <w:r>
        <w:t>((</w:t>
      </w:r>
      <w:r>
        <w:rPr>
          <w:strike/>
        </w:rPr>
        <w:t xml:space="preserve">Texting, defined as a violation of RCW 46.61.668(1)(b) or an equivalent administrative rule or local law, ordinance, rule, or resolution;</w:t>
      </w:r>
    </w:p>
    <w:p>
      <w:pPr>
        <w:spacing w:before="0" w:after="0" w:line="408" w:lineRule="exact"/>
        <w:ind w:left="0" w:right="0" w:firstLine="576"/>
        <w:jc w:val="left"/>
      </w:pPr>
      <w:r>
        <w:rPr>
          <w:strike/>
        </w:rPr>
        <w:t xml:space="preserve">(e)</w:t>
      </w:r>
      <w:r>
        <w:t>))</w:t>
      </w:r>
      <w:r>
        <w:rPr/>
        <w:t xml:space="preserv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Driving a commercial motor vehicle without obtaining a commercial driver's license;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w:t>
      </w:r>
      <w:r>
        <w:rPr>
          <w:u w:val="single"/>
        </w:rPr>
        <w:t xml:space="preserve">Not include any information related to a finding that a person has committed an offense for using a personal electronic device while driving a motor vehicle on a public highway under section 1 of this act if that offense is the first such offense committed within five years;</w:t>
      </w:r>
    </w:p>
    <w:p>
      <w:pPr>
        <w:spacing w:before="0" w:after="0" w:line="408" w:lineRule="exact"/>
        <w:ind w:left="0" w:right="0" w:firstLine="576"/>
        <w:jc w:val="left"/>
      </w:pPr>
      <w:r>
        <w:rPr>
          <w:u w:val="single"/>
        </w:rPr>
        <w:t xml:space="preserve">(C)</w:t>
      </w:r>
      <w:r>
        <w:rPr/>
        <w:t xml:space="preserve">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3c1f4ff0c4f1d" /></Relationships>
</file>