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c66d8ec7640eb" /></Relationships>
</file>

<file path=word/document.xml><?xml version="1.0" encoding="utf-8"?>
<w:document xmlns:w="http://schemas.openxmlformats.org/wordprocessingml/2006/main">
  <w:body>
    <w:p>
      <w:r>
        <w:rPr>
          <w:b/>
        </w:rPr>
        <w:r>
          <w:rPr/>
          <w:t xml:space="preserve">5294-S.E</w:t>
        </w:r>
      </w:r>
      <w:r>
        <w:rPr>
          <w:b/>
        </w:rPr>
        <w:t xml:space="preserve"> </w:t>
        <w:t xml:space="preserve">AMH</w:t>
      </w:r>
      <w:r>
        <w:rPr>
          <w:b/>
        </w:rPr>
        <w:t xml:space="preserve"> </w:t>
        <w:r>
          <w:rPr/>
          <w:t xml:space="preserve">GOOD</w:t>
        </w:r>
      </w:r>
      <w:r>
        <w:rPr>
          <w:b/>
        </w:rPr>
        <w:t xml:space="preserve"> </w:t>
        <w:r>
          <w:rPr/>
          <w:t xml:space="preserve">H2641.4</w:t>
        </w:r>
      </w:r>
      <w:r>
        <w:rPr>
          <w:b/>
        </w:rPr>
        <w:t xml:space="preserve"> - NOT FOR FLOOR USE</w:t>
      </w:r>
    </w:p>
    <w:p>
      <w:pPr>
        <w:ind w:left="0" w:right="0" w:firstLine="576"/>
      </w:pPr>
    </w:p>
    <w:p>
      <w:pPr>
        <w:spacing w:before="480" w:after="0" w:line="408" w:lineRule="exact"/>
      </w:pPr>
      <w:r>
        <w:rPr>
          <w:b/>
          <w:u w:val="single"/>
        </w:rPr>
        <w:t xml:space="preserve">ESSB 5294</w:t>
      </w:r>
      <w:r>
        <w:t xml:space="preserve"> -</w:t>
      </w:r>
      <w:r>
        <w:t xml:space="preserve"> </w:t>
        <w:t xml:space="preserve">H AMD</w:t>
      </w:r>
      <w:r>
        <w:t xml:space="preserve"> </w:t>
      </w:r>
      <w:r>
        <w:rPr>
          <w:b/>
        </w:rPr>
        <w:t xml:space="preserve">503</w:t>
      </w:r>
    </w:p>
    <w:p>
      <w:pPr>
        <w:spacing w:before="0" w:after="0" w:line="408" w:lineRule="exact"/>
        <w:ind w:left="0" w:right="0" w:firstLine="576"/>
        <w:jc w:val="left"/>
      </w:pPr>
      <w:r>
        <w:rPr/>
        <w:t xml:space="preserve">By Representative Goodman</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consists of the following members, appointed by the governor:</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will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however, stakeholders or entities that submit a proposal may not participate in the evaluation of bids or final selection. The contract must last for a period of two years and shall be renewed by the department of commerce at the end of the term except upon a showing of neglect of duty, misconduct, inability or failure to perform duties in good faith, or failure to perform duties in a manner consistent with this chapter, including failure to attempt to resolve concerns at the lowest appropriate level of intervention. During an investigation or inquiry by the department of commerce for neglect of duty, misconduct, inability to perform duties, or failure to perform duties in a manner consistent with this chapter, the organization must provide any documentation necessary for the investigation.</w:t>
      </w:r>
    </w:p>
    <w:p>
      <w:pPr>
        <w:spacing w:before="0" w:after="0" w:line="408" w:lineRule="exact"/>
        <w:ind w:left="0" w:right="0" w:firstLine="576"/>
        <w:jc w:val="left"/>
      </w:pPr>
      <w:r>
        <w:rPr/>
        <w:t xml:space="preserve">(2) The department of commerce shall conduct a request for proposals process every six years unless an investigation as outlined in subsection (1) of this section has resulted in the termination of the organization's designation, in which case the department of commerce shall conduct the request for proposals process within six months of the termination.</w:t>
      </w:r>
    </w:p>
    <w:p>
      <w:pPr>
        <w:spacing w:before="0" w:after="0" w:line="408" w:lineRule="exact"/>
        <w:ind w:left="0" w:right="0" w:firstLine="576"/>
        <w:jc w:val="left"/>
      </w:pPr>
      <w:r>
        <w:rPr/>
        <w:t xml:space="preserve">(3)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(4)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(5) Employees of the office must receive training from the Washington state executive ethics board within sixty days of commencing full-time employment with the office.</w:t>
      </w:r>
    </w:p>
    <w:p>
      <w:pPr>
        <w:spacing w:before="0" w:after="0" w:line="408" w:lineRule="exact"/>
        <w:ind w:left="0" w:right="0" w:firstLine="576"/>
        <w:jc w:val="left"/>
      </w:pPr>
      <w:r>
        <w:rPr/>
        <w:t xml:space="preserve">(6) The office must be an objective, nonbiased entity that will impartially investigate complaints.</w:t>
      </w:r>
    </w:p>
    <w:p>
      <w:pPr>
        <w:spacing w:before="0" w:after="0" w:line="408" w:lineRule="exact"/>
        <w:ind w:left="0" w:right="0" w:firstLine="576"/>
        <w:jc w:val="left"/>
      </w:pPr>
      <w:r>
        <w:rPr/>
        <w:t xml:space="preserve">(7) The office is subject to financial and other audits by the state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Establish professional standards and bylaws that govern its activities. The standards must ensure that the office operates in an objective, nonbiased manner, and that the ombuds' activities will support self-advocacy skills among inmates and their families and promote collaborative problem solving within the correctional system, resolving issues at the lowest possible level. Prior to implementation, the standards are subject to final approval by the Washington state executive ethics board;</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 at the lowest appropriate level of intervention;</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the issues that gave rise to its initial investigation have not been substantially resolved through the process outlined in this subsection (2), the ombuds must report its finding to the governor and the appropriate committees of the legislature. Following such report, the ombuds shall consult with the council regarding what additional measures are appropriate to address the ombuds' continuing concerns. Following such consultation, the ombuds may take reasonable steps to resolve the concerns raised by its investigation. State resources may not be used to support litigation.</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attempt to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 inmates, which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 </w:t>
      </w:r>
    </w:p>
    <w:p>
      <w:pPr>
        <w:spacing w:before="0" w:after="0" w:line="408" w:lineRule="exact"/>
        <w:ind w:left="0" w:right="0" w:firstLine="576"/>
        <w:jc w:val="left"/>
      </w:pPr>
      <w:r>
        <w:rPr/>
        <w:t xml:space="preserve">(4)(a) Following notification from the ombuds with a written demand for access to agency records, the delegated department staff must respond to the ombuds within five business days of the department's receipt of a request by:</w:t>
      </w:r>
    </w:p>
    <w:p>
      <w:pPr>
        <w:spacing w:before="0" w:after="0" w:line="408" w:lineRule="exact"/>
        <w:ind w:left="0" w:right="0" w:firstLine="576"/>
        <w:jc w:val="left"/>
      </w:pPr>
      <w:r>
        <w:rPr/>
        <w:t xml:space="preserve">(i) Making the requested documentation available in cases where the ombuds is investigating an inmate death or threats of bodily harm including, but not limited to, sexual or physical assaults or the denial of necessary medical treatment; or</w:t>
      </w:r>
    </w:p>
    <w:p>
      <w:pPr>
        <w:spacing w:before="0" w:after="0" w:line="408" w:lineRule="exact"/>
        <w:ind w:left="0" w:right="0" w:firstLine="576"/>
        <w:jc w:val="left"/>
      </w:pPr>
      <w:r>
        <w:rPr/>
        <w:t xml:space="preserve">(ii) Acknowledging receipt of the request and providing a reasonable estimate of the time needed to respond, provided that the requested documentation must be produced no later than twenty business days after the department's receipt of a request.</w:t>
      </w:r>
    </w:p>
    <w:p>
      <w:pPr>
        <w:spacing w:before="0" w:after="0" w:line="408" w:lineRule="exact"/>
        <w:ind w:left="0" w:right="0" w:firstLine="576"/>
        <w:jc w:val="left"/>
      </w:pPr>
      <w:r>
        <w:rPr/>
        <w:t xml:space="preserve">(b) The ombuds may consent to an extension of the time frames in this subsection (4) if the ombuds determines that such an extension is reasonable under the circumstances.</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the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subsections (4) and (5) of this section. Investigative records of the office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a majority of the members on the council have reasonable cause to believe that the ombuds is not operating in a manner consistent with this chapter in relation to an investigation, the council may request records that would otherwise be confidential under this chapter for the sole purpose of determining whether the ombuds is operating in a manner consistent with this chapter; however, the council may not further disclose materials that would otherwise be protected by state or federal law.</w:t>
      </w:r>
    </w:p>
    <w:p>
      <w:pPr>
        <w:spacing w:before="0" w:after="0" w:line="408" w:lineRule="exact"/>
        <w:ind w:left="0" w:right="0" w:firstLine="576"/>
        <w:jc w:val="left"/>
      </w:pPr>
      <w:r>
        <w:rPr/>
        <w:t xml:space="preserve">(6)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may request data and information needed to accomplish its work from the office of financial management, the caseload forecast council, the administrative office of the courts, the department of corrections, and the department of social and health services, and such data and information must be provided to the consultant.</w:t>
      </w:r>
    </w:p>
    <w:p>
      <w:pPr>
        <w:spacing w:before="0" w:after="0" w:line="408" w:lineRule="exact"/>
        <w:ind w:left="0" w:right="0" w:firstLine="576"/>
        <w:jc w:val="left"/>
      </w:pPr>
      <w:r>
        <w:rPr/>
        <w:t xml:space="preserve">(4)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seventeen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representing each of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w:t>
      </w:r>
    </w:p>
    <w:p>
      <w:pPr>
        <w:spacing w:before="0" w:after="0" w:line="408" w:lineRule="exact"/>
        <w:ind w:left="0" w:right="0" w:firstLine="576"/>
        <w:jc w:val="left"/>
      </w:pPr>
      <w:r>
        <w:rPr/>
        <w:t xml:space="preserve">(vi) Washington defender association;</w:t>
      </w:r>
    </w:p>
    <w:p>
      <w:pPr>
        <w:spacing w:before="0" w:after="0" w:line="408" w:lineRule="exact"/>
        <w:ind w:left="0" w:right="0" w:firstLine="576"/>
        <w:jc w:val="left"/>
      </w:pPr>
      <w:r>
        <w:rPr/>
        <w:t xml:space="preserve">(vii) Washington state association of counties;</w:t>
      </w:r>
    </w:p>
    <w:p>
      <w:pPr>
        <w:spacing w:before="0" w:after="0" w:line="408" w:lineRule="exact"/>
        <w:ind w:left="0" w:right="0" w:firstLine="576"/>
        <w:jc w:val="left"/>
      </w:pPr>
      <w:r>
        <w:rPr/>
        <w:t xml:space="preserve">(viii) Office of the attorney general;</w:t>
      </w:r>
    </w:p>
    <w:p>
      <w:pPr>
        <w:spacing w:before="0" w:after="0" w:line="408" w:lineRule="exact"/>
        <w:ind w:left="0" w:right="0" w:firstLine="576"/>
        <w:jc w:val="left"/>
      </w:pPr>
      <w:r>
        <w:rPr/>
        <w:t xml:space="preserve">(ix) American civil liberties union of Washington;</w:t>
      </w:r>
    </w:p>
    <w:p>
      <w:pPr>
        <w:spacing w:before="0" w:after="0" w:line="408" w:lineRule="exact"/>
        <w:ind w:left="0" w:right="0" w:firstLine="576"/>
        <w:jc w:val="left"/>
      </w:pPr>
      <w:r>
        <w:rPr/>
        <w:t xml:space="preserve">(x) Sentencing guidelines commission;</w:t>
      </w:r>
    </w:p>
    <w:p>
      <w:pPr>
        <w:spacing w:before="0" w:after="0" w:line="408" w:lineRule="exact"/>
        <w:ind w:left="0" w:right="0" w:firstLine="576"/>
        <w:jc w:val="left"/>
      </w:pPr>
      <w:r>
        <w:rPr/>
        <w:t xml:space="preserve">(xi) Department of corrections;</w:t>
      </w:r>
    </w:p>
    <w:p>
      <w:pPr>
        <w:spacing w:before="0" w:after="0" w:line="408" w:lineRule="exact"/>
        <w:ind w:left="0" w:right="0" w:firstLine="576"/>
        <w:jc w:val="left"/>
      </w:pPr>
      <w:r>
        <w:rPr/>
        <w:t xml:space="preserve">(xii) Superior court judges' association; and</w:t>
      </w:r>
    </w:p>
    <w:p>
      <w:pPr>
        <w:spacing w:before="0" w:after="0" w:line="408" w:lineRule="exact"/>
        <w:ind w:left="0" w:right="0" w:firstLine="576"/>
        <w:jc w:val="left"/>
      </w:pPr>
      <w:r>
        <w:rPr/>
        <w:t xml:space="preserve">(xiii) Administrative office of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and fairness of the sentencing system, and promote public safety.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to receive the report from the consultant under section 17 of this act no later than September 30, 2018.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The task force may request data, information, and other assistance needed to accomplish its work from the office of financial management, the caseload forecast council, the administrative office of the courts, the department of corrections, and the department of social and health services, and such data, information, and assistance must be provided to the task force.</w:t>
      </w:r>
    </w:p>
    <w:p>
      <w:pPr>
        <w:spacing w:before="0" w:after="0" w:line="408" w:lineRule="exact"/>
        <w:ind w:left="0" w:right="0" w:firstLine="576"/>
        <w:jc w:val="left"/>
      </w:pPr>
      <w:r>
        <w:rPr/>
        <w:t xml:space="preserve">(7) Staff support for the task force must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2019.</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apply to sentences imposed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Removes the intent section from the underlying bill.</w:t>
      </w:r>
    </w:p>
    <w:p>
      <w:pPr>
        <w:spacing w:before="0" w:after="0" w:line="408" w:lineRule="exact"/>
        <w:ind w:left="0" w:right="0" w:firstLine="576"/>
        <w:jc w:val="left"/>
      </w:pPr>
      <w:r>
        <w:rPr/>
        <w:t xml:space="preserve">(2) Makes changes to the Office of the Corrections Ombuds (Ombuds) provisions:</w:t>
      </w:r>
    </w:p>
    <w:p>
      <w:pPr>
        <w:spacing w:before="0" w:after="0" w:line="408" w:lineRule="exact"/>
        <w:ind w:left="0" w:right="0" w:firstLine="576"/>
        <w:jc w:val="left"/>
      </w:pPr>
      <w:r>
        <w:rPr/>
        <w:t xml:space="preserve">(a) Adds intent language.</w:t>
      </w:r>
    </w:p>
    <w:p>
      <w:pPr>
        <w:spacing w:before="0" w:after="0" w:line="408" w:lineRule="exact"/>
        <w:ind w:left="0" w:right="0" w:firstLine="576"/>
        <w:jc w:val="left"/>
      </w:pPr>
      <w:r>
        <w:rPr/>
        <w:t xml:space="preserve">(b) Narrows the definition of "inmate" to those inmates in physical custody of the Department of Corrections (DOC).</w:t>
      </w:r>
    </w:p>
    <w:p>
      <w:pPr>
        <w:spacing w:before="0" w:after="0" w:line="408" w:lineRule="exact"/>
        <w:ind w:left="0" w:right="0" w:firstLine="576"/>
        <w:jc w:val="left"/>
      </w:pPr>
      <w:r>
        <w:rPr/>
        <w:t xml:space="preserve">(c) Purposes of the Ombuds: Removes providing assistance with alternative dispute resolution, individual representation, and advocating for systemic reform from stated purposes of the office. Changes the duty of "monitoring and promoting" departmental compliance to "ensuring" compliance, and amends list of what must be complied with to add that it includes "relevant" statutes pertaining to "services and treatment" (rather than rights) of inmates "under the jurisdiction of the department."</w:t>
      </w:r>
    </w:p>
    <w:p>
      <w:pPr>
        <w:spacing w:before="0" w:after="0" w:line="408" w:lineRule="exact"/>
        <w:ind w:left="0" w:right="0" w:firstLine="576"/>
        <w:jc w:val="left"/>
      </w:pPr>
      <w:r>
        <w:rPr/>
        <w:t xml:space="preserve">(d) Advisory Council (Council): Provides that establishment of the Council is subject to funds appropriated for that specific purpose. Requires the Governor to make appointments to the Council. Makes changes to the Council membership to: Remove legislative members, increase the number of former inmates from one to two, remove the requirement that the bargaining unit representative is selected by the bargaining unit membership, and add a representative of the Governor's office. Provides that councilmembers serve two year terms, rather than three year terms, and that the internal DOC ombuds is not subject to the two term limit. Requires the Council's review of the Ombuds' performance to include a review of compliance with the Ombuds' internal bylaws and standards.</w:t>
      </w:r>
    </w:p>
    <w:p>
      <w:pPr>
        <w:spacing w:before="0" w:after="0" w:line="408" w:lineRule="exact"/>
        <w:ind w:left="0" w:right="0" w:firstLine="576"/>
        <w:jc w:val="left"/>
      </w:pPr>
      <w:r>
        <w:rPr/>
        <w:t xml:space="preserve">(e) Selection of organization to operate Ombuds office: Requires the Department of Commerce, rather than the State Auditor, to designate a nonprofit organization to operate the Ombuds office. Specifies that the contract for hosting the Ombuds office is for two years, and must be renewed at the end of that term (except upon a showing of neglect of duty, misconduct, inability to perform in good faith, or failure to perform in a manner consistent with the relevant statutory requirements). Requires the Department of Commerce to conduct a request for proposals every six years. States that entities that submit a proposal to operate the Ombuds office cannot participate in evaluation of bids or final selection of an organization to operate the Ombuds. Provides that relevant experience of the organization may, though not must, include addressing issues relating to chemical dependency treatment, disability and disability-related accommodation, respect for racial, ethnic, and religious diversity, and other civil rights and conditions issues. Requires the Ombuds to be an objective and nonbiased entity that will impartially investigate complaints. Provides that the Ombuds is subject to financial and other audits by the State Auditor, and that its employees must receive training from the Washington State Executive Ethics Board.</w:t>
      </w:r>
    </w:p>
    <w:p>
      <w:pPr>
        <w:spacing w:before="0" w:after="0" w:line="408" w:lineRule="exact"/>
        <w:ind w:left="0" w:right="0" w:firstLine="576"/>
        <w:jc w:val="left"/>
      </w:pPr>
      <w:r>
        <w:rPr/>
        <w:t xml:space="preserve">(f) Ombuds duties: Requires the Ombuds to establish professional standards and bylaws that are subject to final approval by the Washington State Executive Ethics Board. Amends the directive to provide technical assistance to support inmate self-advocacy to remove specific references to the kite, grievance, and appeal procedures. Provides that, rather than monitoring department legal compliance "with a view toward protecting the rights of inmates" this activity is undertaken "with a view toward the appropriate health, safety, welfare, and rehabilitation of inmates." Removes the directive to advocate for systemic reform aimed toward protecting the rights of inmates. Specifies that complaint resolution procedures are for resolution "at the lowest appropriate level of intervention." Requires the Ombuds to report annually to the Governor's Office and the Legislature, in addition to the Council.</w:t>
      </w:r>
    </w:p>
    <w:p>
      <w:pPr>
        <w:spacing w:before="0" w:after="0" w:line="408" w:lineRule="exact"/>
        <w:ind w:left="0" w:right="0" w:firstLine="576"/>
        <w:jc w:val="left"/>
      </w:pPr>
      <w:r>
        <w:rPr/>
        <w:t xml:space="preserve">(g) Complaint process: Requires complaints regarding DOC actions to be about "administrative" actions; and complaints regarding alleged violations of law to be regarding DOC violations that may adversely affect the health, safety, welfare, and rights of inmates. Applies the exhaustion requirement to any person, not just inmates, and requires exhaustion of DOC administrative and appellate procedures (in addition to internal grievance procedures). Requires pursuit of internal DOC processes for 90 business days, rather than 90 calendar days, prior to filing a complaint with the Ombuds. Requires the Ombuds, when it does not investigate a complaint, to notify the complainant and provide a reason.</w:t>
      </w:r>
    </w:p>
    <w:p>
      <w:pPr>
        <w:spacing w:before="0" w:after="0" w:line="408" w:lineRule="exact"/>
        <w:ind w:left="0" w:right="0" w:firstLine="576"/>
        <w:jc w:val="left"/>
      </w:pPr>
      <w:r>
        <w:rPr/>
        <w:t xml:space="preserve">(h) Ombuds responsive actions: Removes language allowing the Ombuds to report a finding of abuse, neglect, or other rights violation to the Legislature or take additional action. Provides, instead, that if the Ombuds believes the issues that gave rise to the investigation have not been substantially resolved, it must report to the Legislature and Governor and consult with the Council regarding additional measures, and may take reasonable steps toward resolution. Specifies that state resources cannot be used to support litigation.</w:t>
      </w:r>
    </w:p>
    <w:p>
      <w:pPr>
        <w:spacing w:before="0" w:after="0" w:line="408" w:lineRule="exact"/>
        <w:ind w:left="0" w:right="0" w:firstLine="576"/>
        <w:jc w:val="left"/>
      </w:pPr>
      <w:r>
        <w:rPr/>
        <w:t xml:space="preserve">(i) Access to facilities and documents: Removes all underlying provisions related to facility and documents access and instead provides the following: (i) The DOC must permit the Ombuds to enter and inspect facilities at any reasonable time, and to view, photograph, and record inmate accessible areas; (ii) the DOC must allow the Ombuds reasonable access to inmates, including opportunities to communicate privately and confidentially; (iii) the DOC must respond to the Ombuds' requests for records within 5 days by producing the records when the investigation is of a death or threats of bodily harm, and otherwise by providing a timeframe within which requested documentation will be produced, which must be no longer than twenty business days absent an agreed upon extension; (iv) other governmental entities that have relevant records must provide those records to the Ombuds; and (v) the DOC must not hinder the lawful actions of the Ombuds, and the Ombuds must work with DOC to minimize disruption.</w:t>
      </w:r>
    </w:p>
    <w:p>
      <w:pPr>
        <w:spacing w:before="0" w:after="0" w:line="408" w:lineRule="exact"/>
        <w:ind w:left="0" w:right="0" w:firstLine="576"/>
        <w:jc w:val="left"/>
      </w:pPr>
      <w:r>
        <w:rPr/>
        <w:t xml:space="preserve">(j) Confidentiality: Removes language stating that the Ombuds must preserve confidentiality of information obtained while providing services, except upon informed consent or other legal authorization. Provides instead that the Ombuds must treat all matters under investigation as confidential, except as far as disclosure may be necessary to enable the Ombuds to perform its duties and to support any recommendations. Requires the Ombuds to maintain confidentiality of privileged or confidential material except as provided by law, and states that investigative records of the office are exempt from disclosure under the Public Records Act. Allows the Council to request records that would otherwise be confidential for purpose of determining whether the Ombuds is operating in a manner consistent with applicable statutory requirements.</w:t>
      </w:r>
    </w:p>
    <w:p>
      <w:pPr>
        <w:spacing w:before="0" w:after="0" w:line="408" w:lineRule="exact"/>
        <w:ind w:left="0" w:right="0" w:firstLine="576"/>
        <w:jc w:val="left"/>
      </w:pPr>
      <w:r>
        <w:rPr/>
        <w:t xml:space="preserve">(3) Modifies the requirements for the Joint Legislative Audit and Review Committee (JLARC) to conduct a performance audit of the information and technology and records departments at the Department of Corrections (DOC) by: Changing references to "information technology and records departments" to "information technology and records-related units"; removing the requirement that the performance audit must be conducted "immediately"; requiring JLARC to audit whether units should be restructured to respond efficiently to changes in sentencing laws and other emergent issues (rather than more quickly respond to legislative directives and emergent issues); requiring JLARC to audit the sufficiency of staffing levels and expertise at each of the units (rather than the sufficiency and quality of staffing at each of the units); specifying that the JLARC audit of the advance corrections project is limited to the project's impact on workload and staff resources at each of the units.</w:t>
      </w:r>
    </w:p>
    <w:p>
      <w:pPr>
        <w:spacing w:before="0" w:after="0" w:line="408" w:lineRule="exact"/>
        <w:ind w:left="0" w:right="0" w:firstLine="576"/>
        <w:jc w:val="left"/>
      </w:pPr>
      <w:r>
        <w:rPr/>
        <w:t xml:space="preserve">(4) Removes from the underlying bill the requirement that the Governor ensure all offices in the executive branch perform their duties as prescribed by law, and ensure that all personal and professional conflicts of interest are avoided.</w:t>
      </w:r>
    </w:p>
    <w:p>
      <w:pPr>
        <w:spacing w:before="0" w:after="0" w:line="408" w:lineRule="exact"/>
        <w:ind w:left="0" w:right="0" w:firstLine="576"/>
        <w:jc w:val="left"/>
      </w:pPr>
      <w:r>
        <w:rPr/>
        <w:t xml:space="preserve">(5) Requires the Sentencing Guidelines Commission (SGC) to contract with one or more external consultants to evaluate the state's sentencing laws and practices, including assessments of certain specified items. Requires the external consultant to develop recommendations for changing and improving sentencing laws and practices to reduce complexity and implementation challenges, reduce unwarranted disparity, increase postconviction review, reduce costs to taxpayers, promote fairness and equity, and other specified items. Specifies that the recommendations must include a phased implementation plan for possible retroactive and prospective changes and a process for an ongoing review of sentencing laws and practices. Authorizes the external consultant to request data, information, and assistance from specified agencies, and requires such data, information, and assistance to be provided to the Task Force. Requires the external consultant to report to the Legislature and Governor by September 1, 2018.</w:t>
      </w:r>
    </w:p>
    <w:p>
      <w:pPr>
        <w:spacing w:before="0" w:after="0" w:line="408" w:lineRule="exact"/>
        <w:ind w:left="0" w:right="0" w:firstLine="576"/>
        <w:jc w:val="left"/>
      </w:pPr>
      <w:r>
        <w:rPr/>
        <w:t xml:space="preserve">(6) Makes changes to the Joint Legislative Task Force (Task Force) created in the underlying bill:</w:t>
      </w:r>
    </w:p>
    <w:p>
      <w:pPr>
        <w:spacing w:before="0" w:after="0" w:line="408" w:lineRule="exact"/>
        <w:ind w:left="0" w:right="0" w:firstLine="576"/>
        <w:jc w:val="left"/>
      </w:pPr>
      <w:r>
        <w:rPr/>
        <w:t xml:space="preserve">(a) Limits the number of Task Force members to 17. Requires the Washington Association of Criminal Defense Attorneys and the Washington Defender Association to be represented on the Task Force by separately appointed members (rather than a single member representing both organizations).</w:t>
      </w:r>
    </w:p>
    <w:p>
      <w:pPr>
        <w:spacing w:before="0" w:after="0" w:line="408" w:lineRule="exact"/>
        <w:ind w:left="0" w:right="0" w:firstLine="576"/>
        <w:jc w:val="left"/>
      </w:pPr>
      <w:r>
        <w:rPr/>
        <w:t xml:space="preserve">(b) Specifies that the Task Force is on criminal sentencing (rather than simplifying sentencing). Removes language specifying that the Task Force make recommendations on simplifying the Sentencing Reform Act, and removes language limiting the Task Force's review and recommendations to technical, nonsubstantive changes that would not reduce punishment or risk public safety. Instead, requires the Task Force to review sentencing laws after consideration of the study and recommendations completed by the external consultant hired through the SGC. Requires the Task Force to develop recommendations to reduce sentencing implementation complexities and errors, improve the effectiveness and fairness of the sentencing system, and promote public safety.</w:t>
      </w:r>
    </w:p>
    <w:p>
      <w:pPr>
        <w:spacing w:before="0" w:after="0" w:line="408" w:lineRule="exact"/>
        <w:ind w:left="0" w:right="0" w:firstLine="576"/>
        <w:jc w:val="left"/>
      </w:pPr>
      <w:r>
        <w:rPr/>
        <w:t xml:space="preserve">(c) Authorizes the Task Force to request data, information, and assistance from specified agencies, and requires such data, information, and assistance to be provided to the Task Force.</w:t>
      </w:r>
    </w:p>
    <w:p>
      <w:pPr>
        <w:spacing w:before="0" w:after="0" w:line="408" w:lineRule="exact"/>
        <w:ind w:left="0" w:right="0" w:firstLine="576"/>
        <w:jc w:val="left"/>
      </w:pPr>
      <w:r>
        <w:rPr/>
        <w:t xml:space="preserve">(d) Requires the Task Force to convene its initial meeting to consider the external consultant's report no later than September 31, 2018. Requires all meetings of the Task Force to be scheduled and conducted in accordance with the requirements of both the Senate and House of Representatives. Requires the legislative members of the Task Force to choose the Task Force's cochairs, which must include one Senator and one Representative. Requires the Task Force to submit its report to the Governor (in addition to the Legislature).</w:t>
      </w:r>
    </w:p>
    <w:p>
      <w:pPr>
        <w:spacing w:before="0" w:after="0" w:line="408" w:lineRule="exact"/>
        <w:ind w:left="0" w:right="0" w:firstLine="576"/>
        <w:jc w:val="left"/>
      </w:pPr>
      <w:r>
        <w:rPr/>
        <w:t xml:space="preserve">(e) Modifies the effective date of the section creating the Task Force to July 1, 2018 (rather than 90 days after the adjournment of the session in which the bill is passed). Expires the Task Force on December 31, 2019 (rather than July 1, 2020).</w:t>
      </w:r>
    </w:p>
    <w:p>
      <w:pPr>
        <w:spacing w:before="0" w:after="0" w:line="408" w:lineRule="exact"/>
        <w:ind w:left="0" w:right="0" w:firstLine="576"/>
        <w:jc w:val="left"/>
      </w:pPr>
      <w:r>
        <w:rPr/>
        <w:t xml:space="preserve">(7) Removes from the underlying bill the changes to the Whistleblower Program, including the changes to investigations process and deadlines for notices and initiating and concluding investigations. Removes from the underlying bill the prohibition against provisions in settlements of whistleblower retaliation lawsuits that prevent an employee from future work in state government.</w:t>
      </w:r>
    </w:p>
    <w:p>
      <w:pPr>
        <w:spacing w:before="0" w:after="0" w:line="408" w:lineRule="exact"/>
        <w:ind w:left="0" w:right="0" w:firstLine="576"/>
        <w:jc w:val="left"/>
      </w:pPr>
      <w:r>
        <w:rPr/>
        <w:t xml:space="preserve">(8) Modifies the requirements in the underlying bill for the performance audit of the Whistleblower Protection Program (Program) by specifying that the audit must review the ability of DOC employees to use the Program (rather than the legislative report from the Senate Law and Justice Committee and any other pertinent documentation of the error, with a particular focus on the inability of DOC employees to use the Program to address concerns with mismanagement). Requires the audit to include recommendations to improve the effectiveness of the program.</w:t>
      </w:r>
    </w:p>
    <w:p>
      <w:pPr>
        <w:spacing w:before="0" w:after="0" w:line="408" w:lineRule="exact"/>
        <w:ind w:left="0" w:right="0" w:firstLine="576"/>
        <w:jc w:val="left"/>
      </w:pPr>
      <w:r>
        <w:rPr/>
        <w:t xml:space="preserve">(9) Requires the DOC to develop a mandatory sentencing elements worksheet to be used by courts to identify and record the elements of a sentencing order. Requires DOC to consult with certain entities when developing the worksheet. Requires the Administrative Office of the Courts to include the mandatory sentencing elements worksheet in a specific section within its felony Judgment and Sentence forms. Requires courts to use the mandatory sentencing elements worksheet for all felony sentences imposed on or after January 1, 2018. Authorizes the DOC to petition the Court of Appeals for a review of a sentence according to the processes in current law in order to address a missing, incomplete, or illegible sentencing elements worksheet.</w:t>
      </w:r>
    </w:p>
    <w:p>
      <w:pPr>
        <w:spacing w:before="0" w:after="0" w:line="408" w:lineRule="exact"/>
        <w:ind w:left="0" w:right="0" w:firstLine="576"/>
        <w:jc w:val="left"/>
      </w:pPr>
      <w:r>
        <w:rPr/>
        <w:t xml:space="preserve">(10)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279a0846547a8" /></Relationships>
</file>