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c2a50820a4e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KAGI</w:t>
        </w:r>
      </w:r>
      <w:r>
        <w:rPr>
          <w:b/>
        </w:rPr>
        <w:t xml:space="preserve"> </w:t>
        <w:r>
          <w:rPr/>
          <w:t xml:space="preserve">H5069.1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5596</w:t>
      </w:r>
      <w:r>
        <w:t xml:space="preserve"> -</w:t>
      </w:r>
      <w:r>
        <w:t xml:space="preserve"> </w:t>
        <w:t xml:space="preserve">H AMD TO ELHS COMM AMD (H-4909.1/18)</w:t>
      </w:r>
      <w:r>
        <w:t xml:space="preserve"> </w:t>
      </w:r>
      <w:r>
        <w:rPr>
          <w:b/>
        </w:rPr>
        <w:t xml:space="preserve">1266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Kagi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 of the amendment, after "law" insert ", unless these separation requirements would result in a youth being detained in solitary confinement"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exception to the requirement that juveniles committed to detention as a contempt sanction pursuant to an At-Risk Youth, Child in Need of Services, child welfare, or truancy court proceeding must be separated from juveniles detained pursuant to a criminal law violation if that separation would result in solitary confinement.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4d2094088417f" /></Relationships>
</file>