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a881690f345f7" /></Relationships>
</file>

<file path=word/document.xml><?xml version="1.0" encoding="utf-8"?>
<w:document xmlns:w="http://schemas.openxmlformats.org/wordprocessingml/2006/main">
  <w:body>
    <w:p>
      <w:r>
        <w:rPr>
          <w:b/>
        </w:rPr>
        <w:r>
          <w:rPr/>
          <w:t xml:space="preserve">5746-S</w:t>
        </w:r>
      </w:r>
      <w:r>
        <w:rPr>
          <w:b/>
        </w:rPr>
        <w:t xml:space="preserve"> </w:t>
        <w:t xml:space="preserve">AMH</w:t>
      </w:r>
      <w:r>
        <w:rPr>
          <w:b/>
        </w:rPr>
        <w:t xml:space="preserve"> </w:t>
        <w:r>
          <w:rPr/>
          <w:t xml:space="preserve">CLIB</w:t>
        </w:r>
      </w:r>
      <w:r>
        <w:rPr>
          <w:b/>
        </w:rPr>
        <w:t xml:space="preserve"> </w:t>
        <w:r>
          <w:rPr/>
          <w:t xml:space="preserve">H5103.4</w:t>
        </w:r>
      </w:r>
      <w:r>
        <w:rPr>
          <w:b/>
        </w:rPr>
        <w:t xml:space="preserve"> - NOT FOR FLOOR USE</w:t>
      </w:r>
    </w:p>
    <w:p>
      <w:pPr>
        <w:ind w:left="0" w:right="0" w:firstLine="576"/>
      </w:pPr>
    </w:p>
    <w:p>
      <w:pPr>
        <w:spacing w:before="480" w:after="0" w:line="408" w:lineRule="exact"/>
      </w:pPr>
      <w:r>
        <w:rPr>
          <w:b/>
          <w:u w:val="single"/>
        </w:rPr>
        <w:t xml:space="preserve">SSB 5746</w:t>
      </w:r>
      <w:r>
        <w:t xml:space="preserve"> -</w:t>
      </w:r>
      <w:r>
        <w:t xml:space="preserve"> </w:t>
        <w:t xml:space="preserve">H AMD TO TR COMM AMD (H-5081.1/18)</w:t>
      </w:r>
      <w:r>
        <w:t xml:space="preserve"> </w:t>
      </w:r>
      <w:r>
        <w:rPr>
          <w:b/>
        </w:rPr>
        <w:t xml:space="preserve">1298</w:t>
      </w:r>
    </w:p>
    <w:p>
      <w:pPr>
        <w:spacing w:before="0" w:after="0" w:line="408" w:lineRule="exact"/>
        <w:ind w:left="0" w:right="0" w:firstLine="576"/>
        <w:jc w:val="left"/>
      </w:pPr>
      <w:r>
        <w:rPr/>
        <w:t xml:space="preserve">By Representative Clibborn</w:t>
      </w:r>
    </w:p>
    <w:p>
      <w:pPr>
        <w:jc w:val="right"/>
      </w:pPr>
      <w:r>
        <w:rPr>
          <w:b/>
        </w:rPr>
        <w:t xml:space="preserve">ADOPTED 03/02/2018</w:t>
      </w:r>
    </w:p>
    <w:p>
      <w:pPr>
        <w:spacing w:before="0" w:after="0" w:line="408" w:lineRule="exact"/>
        <w:ind w:left="0" w:right="0" w:firstLine="576"/>
        <w:jc w:val="left"/>
      </w:pPr>
      <w:r>
        <w:rPr/>
        <w:t xml:space="preserve">On page 1, line 13 of the amendment, after "</w:t>
      </w:r>
      <w:r>
        <w:rPr>
          <w:u w:val="single"/>
        </w:rPr>
        <w:t xml:space="preserve">educational</w:t>
      </w:r>
      <w:r>
        <w:rPr/>
        <w:t xml:space="preserve">" insert "</w:t>
      </w:r>
      <w:r>
        <w:rPr>
          <w:u w:val="single"/>
        </w:rPr>
        <w:t xml:space="preserve">, sports,</w:t>
      </w:r>
      <w:r>
        <w:rPr/>
        <w:t xml:space="preserve">"</w:t>
      </w:r>
    </w:p>
    <w:p>
      <w:pPr>
        <w:spacing w:before="0" w:after="0" w:line="408" w:lineRule="exact"/>
        <w:ind w:left="0" w:right="0" w:firstLine="576"/>
        <w:jc w:val="left"/>
      </w:pPr>
      <w:r>
        <w:rPr/>
        <w:t xml:space="preserve">On page 2, line 13 of the amendment, after "</w:t>
      </w:r>
      <w:r>
        <w:rPr>
          <w:u w:val="single"/>
        </w:rPr>
        <w:t xml:space="preserve">governor;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2, line 14 of the amendment, after "</w:t>
      </w:r>
      <w:r>
        <w:rPr>
          <w:u w:val="single"/>
        </w:rPr>
        <w:t xml:space="preserve">(b)</w:t>
      </w:r>
      <w:r>
        <w:rPr/>
        <w:t xml:space="preserve">" insert "</w:t>
      </w:r>
      <w:r>
        <w:rPr>
          <w:u w:val="single"/>
        </w:rPr>
        <w:t xml:space="preserve">Beginning January 1, 2019, collaboration with the association of Washington generals to administer the sports mentoring program as established under section 3 of this act, a mentoring program to encourage underserved youth to join sports or otherwise participate in the area of sports; and</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On page 2, line 17 of the amendment, after "</w:t>
      </w:r>
      <w:r>
        <w:rPr>
          <w:u w:val="single"/>
        </w:rPr>
        <w:t xml:space="preserve">program</w:t>
      </w:r>
      <w:r>
        <w:rPr/>
        <w:t xml:space="preserve">" insert "</w:t>
      </w:r>
      <w:r>
        <w:rPr>
          <w:u w:val="single"/>
        </w:rPr>
        <w:t xml:space="preserve">and the sports mentoring program</w:t>
      </w:r>
      <w:r>
        <w:rPr/>
        <w:t xml:space="preserve">"</w:t>
      </w:r>
    </w:p>
    <w:p>
      <w:pPr>
        <w:spacing w:before="0" w:after="0" w:line="408" w:lineRule="exact"/>
        <w:ind w:left="0" w:right="0" w:firstLine="576"/>
        <w:jc w:val="left"/>
      </w:pPr>
      <w:r>
        <w:rPr/>
        <w:t xml:space="preserve">On page 2, line 19 of the amendment, after "</w:t>
      </w:r>
      <w:r>
        <w:rPr>
          <w:u w:val="single"/>
        </w:rPr>
        <w:t xml:space="preserve">program</w:t>
      </w:r>
      <w:r>
        <w:rPr/>
        <w:t xml:space="preserve">" insert "</w:t>
      </w:r>
      <w:r>
        <w:rPr>
          <w:u w:val="single"/>
        </w:rPr>
        <w:t xml:space="preserve">and the sports mentoring program</w:t>
      </w:r>
      <w:r>
        <w:rPr/>
        <w:t xml:space="preserve">"</w:t>
      </w:r>
    </w:p>
    <w:p>
      <w:pPr>
        <w:spacing w:before="0" w:after="0" w:line="408" w:lineRule="exact"/>
        <w:ind w:left="0" w:right="0" w:firstLine="576"/>
        <w:jc w:val="left"/>
      </w:pPr>
      <w:r>
        <w:rPr/>
        <w:t xml:space="preserve">On page 4, after line 13 of the amendment, insert the following:</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z w:val="20"/>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20"/>
                <w:u w:val="single"/>
              </w:rPr>
              <w:t xml:space="preserve">Provide funds to the sports mentoring program and to support the Washington world fellows program in the following manner: (a) Seventy-five percent to the office of the lieutenant governor solely to administer the sports mentoring program established under section 3 of this act,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r>
              <w:rPr>
                <w:rFonts w:ascii="Times New Roman" w:hAnsi="Times New Roman"/>
                <w:sz w:val="20"/>
              </w:rPr>
              <w:t xml:space="preserve">"</w:t>
            </w:r>
          </w:p>
        </w:tc>
      </w:tr>
    </w:tbl>
    <w:p>
      <w:pPr>
        <w:spacing w:before="0" w:after="0" w:line="408" w:lineRule="exact"/>
        <w:ind w:left="0" w:right="0" w:firstLine="576"/>
        <w:jc w:val="left"/>
      </w:pPr>
      <w:r>
        <w:rPr/>
        <w:t xml:space="preserve">On page 8, line 32 of the amendment, after "</w:t>
      </w:r>
      <w:r>
        <w:rPr>
          <w:u w:val="single"/>
        </w:rPr>
        <w:t xml:space="preserve">(6)</w:t>
      </w:r>
      <w:r>
        <w:rPr/>
        <w:t xml:space="preserve">" insert "</w:t>
      </w:r>
      <w:r>
        <w:rPr>
          <w:u w:val="single"/>
        </w:rPr>
        <w:t xml:space="preserve">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u w:val="single"/>
        </w:rPr>
        <w:t xml:space="preserve">(7)</w:t>
      </w:r>
      <w:r>
        <w:rPr/>
        <w:t xml:space="preserve">"</w:t>
      </w:r>
    </w:p>
    <w:p>
      <w:pPr>
        <w:spacing w:before="0" w:after="0" w:line="408" w:lineRule="exact"/>
        <w:ind w:left="0" w:right="0" w:firstLine="576"/>
        <w:jc w:val="left"/>
      </w:pPr>
      <w:r>
        <w:rPr/>
        <w:t xml:space="preserve">On page 8, after line 36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43</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office of lieutenant governor will collaborate with the association of Washington generals to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430</w:t>
      </w:r>
      <w:r>
        <w:rPr/>
        <w:t xml:space="preserve"> and 2010 c 161 s 811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plates fees established under RCW 46.17.220</w:t>
      </w:r>
      <w:r>
        <w:t>((</w:t>
      </w:r>
      <w:r>
        <w:rPr>
          <w:strike/>
        </w:rPr>
        <w:t xml:space="preserve">(1) (c) and (e)</w:t>
      </w:r>
      <w:r>
        <w:t>))</w:t>
      </w:r>
      <w:r>
        <w:rPr/>
        <w:t xml:space="preserve"> </w:t>
      </w:r>
      <w:r>
        <w:rPr>
          <w:u w:val="single"/>
        </w:rPr>
        <w:t xml:space="preserve">(6)</w:t>
      </w:r>
      <w:r>
        <w:rPr/>
        <w:t xml:space="preserve">;</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800"/>
        <w:gridCol w:w="1500"/>
        <w:gridCol w:w="1560"/>
      </w:tblGrid>
      <w:tr>
        <w:tc>
          <w:tcPr>
            <w:tcW w:w="180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500" w:type="dxa"/>
            <w:vAlign w:val="top"/>
          </w:tcPr>
          <w:p>
            <w:pPr>
              <w:spacing w:before="0" w:after="0" w:line="408" w:lineRule="exact"/>
              <w:ind w:left="0" w:right="0" w:firstLine="0"/>
              <w:jc w:val="left"/>
            </w:pPr>
            <w:r>
              <w:rPr>
                <w:rFonts w:ascii="Times New Roman" w:hAnsi="Times New Roman"/>
                <w:sz w:val="16"/>
              </w:rPr>
              <w:t xml:space="preserve">ACCOUNT</w:t>
            </w:r>
          </w:p>
        </w:tc>
        <w:tc>
          <w:tcPr>
            <w:tcW w:w="1560" w:type="dxa"/>
            <w:vAlign w:val="top"/>
          </w:tcPr>
          <w:p>
            <w:pPr>
              <w:spacing w:before="0" w:after="0" w:line="408" w:lineRule="exact"/>
              <w:ind w:left="0" w:right="0" w:firstLine="0"/>
              <w:jc w:val="left"/>
            </w:pPr>
            <w:r>
              <w:rPr>
                <w:rFonts w:ascii="Times New Roman" w:hAnsi="Times New Roman"/>
                <w:sz w:val="16"/>
              </w:rPr>
              <w:t xml:space="preserve">PURPOSE</w:t>
            </w:r>
          </w:p>
        </w:tc>
      </w:tr>
      <w:tr>
        <w:tc>
          <w:tcPr>
            <w:tcW w:w="1800" w:type="dxa"/>
            <w:vAlign w:val="top"/>
          </w:tcPr>
          <w:p>
            <w:pPr>
              <w:spacing w:before="0" w:after="0" w:line="408" w:lineRule="exact"/>
              <w:ind w:left="0" w:right="0" w:firstLine="0"/>
              <w:jc w:val="left"/>
            </w:pPr>
            <w:r>
              <w:t>((</w:t>
            </w:r>
            <w:r>
              <w:rPr>
                <w:rFonts w:ascii="Times New Roman" w:hAnsi="Times New Roman"/>
                <w:strike/>
                <w:sz w:val="16"/>
              </w:rPr>
              <w:t xml:space="preserve">Baseball stadium</w:t>
            </w:r>
          </w:p>
        </w:tc>
        <w:tc>
          <w:tcPr>
            <w:tcW w:w="1500" w:type="dxa"/>
            <w:vAlign w:val="top"/>
          </w:tcPr>
          <w:p>
            <w:pPr>
              <w:spacing w:before="0" w:after="0" w:line="408" w:lineRule="exact"/>
              <w:ind w:left="0" w:right="0" w:firstLine="0"/>
              <w:jc w:val="left"/>
            </w:pPr>
            <w:r>
              <w:rPr>
                <w:rFonts w:ascii="Times New Roman" w:hAnsi="Times New Roman"/>
                <w:strike/>
                <w:sz w:val="16"/>
              </w:rPr>
              <w:t xml:space="preserve">A county</w:t>
            </w:r>
          </w:p>
        </w:tc>
        <w:tc>
          <w:tcPr>
            <w:tcW w:w="1560" w:type="dxa"/>
            <w:vAlign w:val="top"/>
          </w:tcPr>
          <w:p>
            <w:pPr>
              <w:spacing w:before="0" w:after="0" w:line="408" w:lineRule="exact"/>
              <w:ind w:left="0" w:right="0" w:firstLine="0"/>
              <w:jc w:val="left"/>
            </w:pPr>
            <w:r>
              <w:rPr>
                <w:rFonts w:ascii="Times New Roman" w:hAnsi="Times New Roman"/>
                <w:strike/>
                <w:sz w:val="16"/>
              </w:rPr>
              <w:t xml:space="preserve">To pay the principal and interest payments on bonds issued by the county to construct a baseball stadium, as defined in RCW 82.14.0485, including reasonably necessary preconstruction costs, while the taxes are being collected under RCW 82.14.360. After the principal and interest payments on bonds have been made, the state treasurer shall credit the funds to the state general fund.</w:t>
            </w:r>
            <w:r>
              <w:t>))</w:t>
            </w:r>
          </w:p>
        </w:tc>
      </w:tr>
      <w:tr>
        <w:tc>
          <w:tcPr>
            <w:tcW w:w="1800" w:type="dxa"/>
            <w:vAlign w:val="top"/>
          </w:tcPr>
          <w:p>
            <w:pPr>
              <w:spacing w:before="0" w:after="0" w:line="408" w:lineRule="exact"/>
              <w:ind w:left="0" w:right="0" w:firstLine="0"/>
              <w:jc w:val="left"/>
            </w:pPr>
            <w:r>
              <w:rPr>
                <w:rFonts w:ascii="Times New Roman" w:hAnsi="Times New Roman"/>
                <w:sz w:val="16"/>
              </w:rPr>
              <w:t xml:space="preserve">Collegiate</w:t>
            </w:r>
          </w:p>
        </w:tc>
        <w:tc>
          <w:tcPr>
            <w:tcW w:w="1500" w:type="dxa"/>
            <w:vAlign w:val="top"/>
          </w:tcPr>
          <w:p>
            <w:pPr>
              <w:spacing w:before="0" w:after="0" w:line="408" w:lineRule="exact"/>
              <w:ind w:left="0" w:right="0" w:firstLine="0"/>
              <w:jc w:val="left"/>
            </w:pPr>
            <w:r>
              <w:rPr>
                <w:rFonts w:ascii="Times New Roman" w:hAnsi="Times New Roman"/>
                <w:sz w:val="16"/>
              </w:rPr>
              <w:t xml:space="preserve">RCW 28B.10.890</w:t>
            </w:r>
          </w:p>
        </w:tc>
        <w:tc>
          <w:tcPr>
            <w:tcW w:w="1560" w:type="dxa"/>
            <w:vAlign w:val="top"/>
          </w:tcPr>
          <w:p>
            <w:pPr>
              <w:spacing w:before="0" w:after="0" w:line="408" w:lineRule="exact"/>
              <w:ind w:left="0" w:right="0" w:firstLine="0"/>
              <w:jc w:val="left"/>
            </w:pPr>
            <w:r>
              <w:rPr>
                <w:rFonts w:ascii="Times New Roman" w:hAnsi="Times New Roman"/>
                <w:sz w:val="16"/>
              </w:rPr>
              <w:t xml:space="preserve">Student scholarships</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Mariners license plates" means special license plates issued under RCW 46.18.200 that display a symbol or artwork recognizing the Seattle Mariners.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04</w:t>
      </w:r>
      <w:r>
        <w:rPr/>
        <w:t xml:space="preserve">.</w:t>
      </w:r>
      <w:r>
        <w:t xml:space="preserve">062</w:t>
      </w:r>
      <w:r>
        <w:rPr/>
        <w:t xml:space="preserve"> (Baseball stadium license plate) and 2010 c 161 s 105; and</w:t>
      </w:r>
    </w:p>
    <w:p>
      <w:pPr>
        <w:spacing w:before="0" w:after="0" w:line="408" w:lineRule="exact"/>
        <w:ind w:left="0" w:right="0" w:firstLine="576"/>
        <w:jc w:val="left"/>
      </w:pPr>
      <w:r>
        <w:t>(2)</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purpose of the Association of Washington Generals to include expanding sports opportunities for youth, veterans, and people with disabilities.</w:t>
      </w:r>
    </w:p>
    <w:p>
      <w:pPr>
        <w:spacing w:before="0" w:after="0" w:line="408" w:lineRule="exact"/>
        <w:ind w:left="0" w:right="0" w:firstLine="576"/>
        <w:jc w:val="left"/>
      </w:pPr>
      <w:r>
        <w:rPr/>
        <w:t xml:space="preserve">(2) Provides that the Office of the Lieutenant Governor will collaborate with the Association of Washington Generals in the administration of the sports mentoring program.</w:t>
      </w:r>
    </w:p>
    <w:p>
      <w:pPr>
        <w:spacing w:before="0" w:after="0" w:line="408" w:lineRule="exact"/>
        <w:ind w:left="0" w:right="0" w:firstLine="576"/>
        <w:jc w:val="left"/>
      </w:pPr>
      <w:r>
        <w:rPr/>
        <w:t xml:space="preserve">(3) Creates a sports mentoring program and requires 75 percent of the Seattle Mariners license plate fees to fund the sports mentoring program, with at least 90 percent of the amounts received to be applied towards services directly provided to youth participants in the sports mentoring program.</w:t>
      </w:r>
    </w:p>
    <w:p>
      <w:pPr>
        <w:spacing w:before="0" w:after="0" w:line="408" w:lineRule="exact"/>
        <w:ind w:left="0" w:right="0" w:firstLine="576"/>
        <w:jc w:val="left"/>
      </w:pPr>
      <w:r>
        <w:rPr/>
        <w:t xml:space="preserve">(4) Establishes the Seattle Mariners special license plate, creates the Seattle Mariners account, and requires the allocation of the proceeds received through the Seattle Mariners special license plates as follows: 75 percent to the Office of the Lieutenant Governor solely for the administration of the sports mentoring program, and 25 percent to the Office of Lieutenant Governor solely for the administration of the Washington World Fellows Program.</w:t>
      </w:r>
    </w:p>
    <w:p>
      <w:pPr>
        <w:spacing w:before="0" w:after="0" w:line="408" w:lineRule="exact"/>
        <w:ind w:left="0" w:right="0" w:firstLine="576"/>
        <w:jc w:val="left"/>
      </w:pPr>
      <w:r>
        <w:rPr/>
        <w:t xml:space="preserve">(5) Repeals and removes the baseball stadium license plate provisions in statute.</w:t>
      </w:r>
    </w:p>
    <w:p>
      <w:pPr>
        <w:spacing w:before="0" w:after="0" w:line="408" w:lineRule="exact"/>
        <w:ind w:left="0" w:right="0" w:firstLine="576"/>
        <w:jc w:val="left"/>
      </w:pPr>
      <w:r>
        <w:rPr/>
        <w:t xml:space="preserve">(6) Requires that the annual financial report include details of revenues and expenditures associated with the sports mentoring program.</w:t>
      </w:r>
    </w:p>
    <w:p>
      <w:pPr>
        <w:spacing w:before="0" w:after="0" w:line="408" w:lineRule="exact"/>
        <w:ind w:left="0" w:right="0" w:firstLine="576"/>
        <w:jc w:val="left"/>
      </w:pPr>
      <w:r>
        <w:rPr/>
        <w:t xml:space="preserve">(7) Makes the provisions relating to the sports mentoring program and the Seattle Mariners special license plate effective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3c6061d7a4cb8" /></Relationships>
</file>