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6767e31b14cce" /></Relationships>
</file>

<file path=word/document.xml><?xml version="1.0" encoding="utf-8"?>
<w:document xmlns:w="http://schemas.openxmlformats.org/wordprocessingml/2006/main">
  <w:body>
    <w:p>
      <w:r>
        <w:rPr>
          <w:b/>
        </w:rPr>
        <w:r>
          <w:rPr/>
          <w:t xml:space="preserve">5777-S.E</w:t>
        </w:r>
      </w:r>
      <w:r>
        <w:rPr>
          <w:b/>
        </w:rPr>
        <w:t xml:space="preserve"> </w:t>
        <w:t xml:space="preserve">AMH</w:t>
      </w:r>
      <w:r>
        <w:rPr>
          <w:b/>
        </w:rPr>
        <w:t xml:space="preserve"> </w:t>
        <w:r>
          <w:rPr/>
          <w:t xml:space="preserve">FIN</w:t>
        </w:r>
      </w:r>
      <w:r>
        <w:rPr>
          <w:b/>
        </w:rPr>
        <w:t xml:space="preserve"> </w:t>
        <w:r>
          <w:rPr/>
          <w:t xml:space="preserve">H2531.2</w:t>
        </w:r>
      </w:r>
      <w:r>
        <w:rPr>
          <w:b/>
        </w:rPr>
        <w:t xml:space="preserve"> - NOT FOR FLOOR USE</w:t>
      </w:r>
    </w:p>
    <w:p>
      <w:pPr>
        <w:ind w:left="0" w:right="0" w:firstLine="576"/>
      </w:pPr>
      <w:r>
        <w:rPr/>
        <w:t xml:space="preserve"> </w:t>
      </w:r>
    </w:p>
    <w:p>
      <w:pPr>
        <w:spacing w:before="480" w:after="0" w:line="408" w:lineRule="exact"/>
      </w:pPr>
      <w:r>
        <w:rPr>
          <w:b/>
          <w:u w:val="single"/>
        </w:rPr>
        <w:t xml:space="preserve">ESSB 5777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w:t>
      </w:r>
    </w:p>
    <w:p>
      <w:pPr>
        <w:spacing w:before="0" w:after="0" w:line="408" w:lineRule="exact"/>
        <w:ind w:left="0" w:right="0" w:firstLine="576"/>
        <w:jc w:val="left"/>
      </w:pPr>
      <w:r>
        <w:rPr/>
        <w:t xml:space="preserve">(b) The task force may seek input or collaborate with other parties, as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December 31, 2022, deadline for the department of revenue to phase-in the issuance and renewal of general business licenses.</w:t>
      </w:r>
    </w:p>
    <w:p>
      <w:pPr>
        <w:spacing w:before="0" w:after="0" w:line="408" w:lineRule="exact"/>
        <w:ind w:left="0" w:right="0" w:firstLine="576"/>
        <w:jc w:val="left"/>
      </w:pPr>
      <w:r>
        <w:rPr/>
        <w:t xml:space="preserve">(2) Requires the department to partner with at least six cities between January 1, 2018, and December 31, 2021, and the remaining cities not already partnered with the department or otherwise exempt from partnering between January 1, 2022, and December 31, 2027.</w:t>
      </w:r>
    </w:p>
    <w:p>
      <w:pPr>
        <w:spacing w:before="0" w:after="0" w:line="408" w:lineRule="exact"/>
        <w:ind w:left="0" w:right="0" w:firstLine="576"/>
        <w:jc w:val="left"/>
      </w:pPr>
      <w:r>
        <w:rPr/>
        <w:t xml:space="preserve">(3) Replaces the hardship exemption specifications in the underlying bill with a provision permitting the department to delay implementation for up to three years, if the department receives notice from a city that the city needs to delay implementation due to fiscal or technical challenges. The notice must be in writing and provided within sixty days of the city appearing in the department's partnership plan and must include an explanation of the fiscal or technical hardship.</w:t>
      </w:r>
    </w:p>
    <w:p>
      <w:pPr>
        <w:spacing w:before="0" w:after="0" w:line="408" w:lineRule="exact"/>
        <w:ind w:left="0" w:right="0" w:firstLine="576"/>
        <w:jc w:val="left"/>
      </w:pPr>
      <w:r>
        <w:rPr/>
        <w:t xml:space="preserve">(4) Eliminates the provision permitting cities to terminate their partnership with the department if after one year the city determines continuing to partner with the department creates an undue hardship.</w:t>
      </w:r>
    </w:p>
    <w:p>
      <w:pPr>
        <w:spacing w:before="0" w:after="0" w:line="408" w:lineRule="exact"/>
        <w:ind w:left="0" w:right="0" w:firstLine="576"/>
        <w:jc w:val="left"/>
      </w:pPr>
      <w:r>
        <w:rPr/>
        <w:t xml:space="preserve">(5) Requires the department to submit a progress report to the legislature, replacing the list of report recipients in the underlying bill.</w:t>
      </w:r>
    </w:p>
    <w:p>
      <w:pPr>
        <w:spacing w:before="0" w:after="0" w:line="408" w:lineRule="exact"/>
        <w:ind w:left="0" w:right="0" w:firstLine="576"/>
        <w:jc w:val="left"/>
      </w:pPr>
      <w:r>
        <w:rPr/>
        <w:t xml:space="preserve">(6) Provides if a city does not work with the department to adopt a fee structure that is administrable by the department, the city may not enforce its general business licensing requirements until the effect date of a fee structure that is administrable by the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763662700480f" /></Relationships>
</file>