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37089fea24a6b" /></Relationships>
</file>

<file path=word/document.xml><?xml version="1.0" encoding="utf-8"?>
<w:document xmlns:w="http://schemas.openxmlformats.org/wordprocessingml/2006/main">
  <w:body>
    <w:p>
      <w:r>
        <w:rPr>
          <w:b/>
        </w:rPr>
        <w:r>
          <w:rPr/>
          <w:t xml:space="preserve">6407</w:t>
        </w:r>
      </w:r>
      <w:r>
        <w:rPr>
          <w:b/>
        </w:rPr>
        <w:t xml:space="preserve"> </w:t>
        <w:t xml:space="preserve">AMH</w:t>
      </w:r>
      <w:r>
        <w:rPr>
          <w:b/>
        </w:rPr>
        <w:t xml:space="preserve"> </w:t>
        <w:r>
          <w:rPr/>
          <w:t xml:space="preserve">APP</w:t>
        </w:r>
      </w:r>
      <w:r>
        <w:rPr>
          <w:b/>
        </w:rPr>
        <w:t xml:space="preserve"> </w:t>
        <w:r>
          <w:rPr/>
          <w:t xml:space="preserve">H5083.2</w:t>
        </w:r>
      </w:r>
      <w:r>
        <w:rPr>
          <w:b/>
        </w:rPr>
        <w:t xml:space="preserve"> - NOT FOR FLOOR USE</w:t>
      </w:r>
    </w:p>
    <w:p>
      <w:pPr>
        <w:ind w:left="0" w:right="0" w:firstLine="576"/>
      </w:pPr>
    </w:p>
    <w:p>
      <w:pPr>
        <w:spacing w:before="480" w:after="0" w:line="408" w:lineRule="exact"/>
      </w:pPr>
      <w:r>
        <w:rPr>
          <w:b/>
          <w:u w:val="single"/>
        </w:rPr>
        <w:t xml:space="preserve">SB 6407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2013 c 205 s 3 are each amended to read as follows:</w:t>
      </w:r>
    </w:p>
    <w:p>
      <w:pPr>
        <w:spacing w:before="0" w:after="0" w:line="408" w:lineRule="exact"/>
        <w:ind w:left="0" w:right="0" w:firstLine="576"/>
        <w:jc w:val="left"/>
      </w:pPr>
      <w:r>
        <w:rPr/>
        <w:t xml:space="preserve">(1) </w:t>
      </w:r>
      <w:r>
        <w:t>((</w:t>
      </w:r>
      <w:r>
        <w:rPr>
          <w:strike/>
        </w:rPr>
        <w:t xml:space="preserve">No later than July 1, 2014,</w:t>
      </w:r>
      <w:r>
        <w:t>))</w:t>
      </w:r>
      <w:r>
        <w:rPr/>
        <w:t xml:space="preserve"> </w:t>
      </w:r>
      <w:r>
        <w:rPr>
          <w:u w:val="single"/>
        </w:rPr>
        <w:t xml:space="preserve">T</w:t>
      </w:r>
      <w:r>
        <w:rPr/>
        <w:t xml:space="preserve">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w:t>
      </w:r>
      <w:r>
        <w:rPr>
          <w:u w:val="single"/>
        </w:rPr>
        <w:t xml:space="preserve">It is the goal of the legislature to expand the coverage area of network administrators to encompass the entire state. Recognizing that phased implementation may be necessary, t</w:t>
      </w:r>
      <w:r>
        <w:rPr/>
        <w:t xml:space="preserve">he department shall conduct </w:t>
      </w:r>
      <w:r>
        <w:t>((</w:t>
      </w:r>
      <w:r>
        <w:rPr>
          <w:strike/>
        </w:rPr>
        <w:t xml:space="preserve">a</w:t>
      </w:r>
      <w:r>
        <w:t>))</w:t>
      </w:r>
      <w:r>
        <w:rPr/>
        <w:t xml:space="preserve"> </w:t>
      </w:r>
      <w:r>
        <w:rPr>
          <w:u w:val="single"/>
        </w:rPr>
        <w:t xml:space="preserve">one or more</w:t>
      </w:r>
      <w:r>
        <w:rPr/>
        <w:t xml:space="preserve"> procurement </w:t>
      </w:r>
      <w:r>
        <w:t>((</w:t>
      </w:r>
      <w:r>
        <w:rPr>
          <w:strike/>
        </w:rPr>
        <w:t xml:space="preserve">process</w:t>
      </w:r>
      <w:r>
        <w:t>))</w:t>
      </w:r>
      <w:r>
        <w:rPr/>
        <w:t xml:space="preserve"> </w:t>
      </w:r>
      <w:r>
        <w:rPr>
          <w:u w:val="single"/>
        </w:rPr>
        <w:t xml:space="preserve">processes</w:t>
      </w:r>
      <w:r>
        <w:rPr/>
        <w:t xml:space="preserve"> to </w:t>
      </w:r>
      <w:r>
        <w:t>((</w:t>
      </w:r>
      <w:r>
        <w:rPr>
          <w:strike/>
        </w:rPr>
        <w:t xml:space="preserve">enter into performance-based contracts with one or more</w:t>
      </w:r>
      <w:r>
        <w:t>))</w:t>
      </w:r>
      <w:r>
        <w:rPr/>
        <w:t xml:space="preserve"> </w:t>
      </w:r>
      <w:r>
        <w:rPr>
          <w:u w:val="single"/>
        </w:rPr>
        <w:t xml:space="preserve">expand the geographic coverage of</w:t>
      </w:r>
      <w:r>
        <w:rPr/>
        <w:t xml:space="preserve"> network administrators for family support and related services. </w:t>
      </w:r>
      <w:r>
        <w:t>((</w:t>
      </w:r>
      <w:r>
        <w:rPr>
          <w:strike/>
        </w:rPr>
        <w:t xml:space="preserve">As part of the procurement process, the department shall consult with department caseworkers, the exclusive bargaining representative for employees of the department, tribal representatives, parents who were formerly involved in the child welfare system, youth currently or previously in foster care, child welfare services researchers, and the Washington state institute for public policy to assist in identifying the categories of family support and related services that will be included in the procurement. The categories of family support and related services shall be defined no later than July 15, 2012. In identifying services, the department must review current data and research related to the effectiveness of family support and related services that mitigate child safety concerns and promote permanency, including reunification, and child well-being.</w:t>
      </w:r>
      <w:r>
        <w:t>))</w:t>
      </w:r>
      <w:r>
        <w:rPr/>
        <w:t xml:space="preserve">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 </w:t>
      </w:r>
      <w:r>
        <w:t>((</w:t>
      </w:r>
      <w:r>
        <w:rPr>
          <w:strike/>
        </w:rPr>
        <w:t xml:space="preserve">and</w:t>
      </w:r>
      <w:r>
        <w:t>))</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r>
        <w:rPr>
          <w:u w:val="single"/>
        </w:rPr>
        <w:t xml:space="preserve">;</w:t>
      </w:r>
    </w:p>
    <w:p>
      <w:pPr>
        <w:spacing w:before="0" w:after="0" w:line="408" w:lineRule="exact"/>
        <w:ind w:left="0" w:right="0" w:firstLine="576"/>
        <w:jc w:val="left"/>
      </w:pPr>
      <w:r>
        <w:rPr>
          <w:u w:val="single"/>
        </w:rPr>
        <w:t xml:space="preserve">(iii) Manage the entire family support and related service array within the geographic boundaries of a given network; and</w:t>
      </w:r>
    </w:p>
    <w:p>
      <w:pPr>
        <w:spacing w:before="0" w:after="0" w:line="408" w:lineRule="exact"/>
        <w:ind w:left="0" w:right="0" w:firstLine="576"/>
        <w:jc w:val="left"/>
      </w:pPr>
      <w:r>
        <w:rPr>
          <w:u w:val="single"/>
        </w:rPr>
        <w:t xml:space="preserve">(iv) Have the authority to redistribute funding within the network based on provider performance and the need to address service gaps if approval is provided by the department</w:t>
      </w:r>
      <w:r>
        <w:rPr/>
        <w:t xml:space="preserve">.</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w:t>
      </w:r>
      <w:r>
        <w:t>((</w:t>
      </w:r>
      <w:r>
        <w:rPr>
          <w:strike/>
        </w:rPr>
        <w:t xml:space="preserve">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pPr>
        <w:spacing w:before="0" w:after="0" w:line="408" w:lineRule="exact"/>
        <w:ind w:left="0" w:right="0" w:firstLine="576"/>
        <w:jc w:val="left"/>
      </w:pPr>
      <w:r>
        <w:rPr>
          <w:strike/>
        </w:rPr>
        <w:t xml:space="preserve">(5)</w:t>
      </w:r>
      <w:r>
        <w:t>))</w:t>
      </w:r>
      <w:r>
        <w:rPr/>
        <w:t xml:space="preserve">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As part of the procurement process under this section </w:t>
      </w:r>
      <w:r>
        <w:rPr>
          <w:u w:val="single"/>
        </w:rPr>
        <w:t xml:space="preserve">to expand the coverage of network administrators</w:t>
      </w:r>
      <w:r>
        <w:rPr/>
        <w:t xml:space="preserve">, the department shall issue the request for proposals or request for information no later than </w:t>
      </w:r>
      <w:r>
        <w:t>((</w:t>
      </w:r>
      <w:r>
        <w:rPr>
          <w:strike/>
        </w:rPr>
        <w:t xml:space="preserve">December 31, 2013, shall begin</w:t>
      </w:r>
      <w:r>
        <w:t>))</w:t>
      </w:r>
      <w:r>
        <w:rPr/>
        <w:t xml:space="preserve"> </w:t>
      </w:r>
      <w:r>
        <w:rPr>
          <w:u w:val="single"/>
        </w:rPr>
        <w:t xml:space="preserve">September 30, 2018, to expand the coverage area of the existing network administrator or expand the number of network administrators so that there is expanded network administrator coverage on the east side of the crest of the Cascade mountain range. Expanded</w:t>
      </w:r>
      <w:r>
        <w:rPr/>
        <w:t xml:space="preserve"> implementation of performance-based contracting </w:t>
      </w:r>
      <w:r>
        <w:rPr>
          <w:u w:val="single"/>
        </w:rPr>
        <w:t xml:space="preserve">must begin</w:t>
      </w:r>
      <w:r>
        <w:rPr/>
        <w:t xml:space="preserve"> no later than </w:t>
      </w:r>
      <w:r>
        <w:t>((</w:t>
      </w:r>
      <w:r>
        <w:rPr>
          <w:strike/>
        </w:rPr>
        <w:t xml:space="preserve">July 1, 2014, and shall fully implement performance-based contracting no later than July 1, 2015</w:t>
      </w:r>
      <w:r>
        <w:t>))</w:t>
      </w:r>
      <w:r>
        <w:rPr/>
        <w:t xml:space="preserve"> </w:t>
      </w:r>
      <w:r>
        <w:rPr>
          <w:u w:val="single"/>
        </w:rPr>
        <w:t xml:space="preserve">January 30, 2019, if a qualified organization responds to the procurement process. Based on the costs and benefits of the network administrator expansion in this subsection, the department shall submit a recommendation to the oversight board for children, youth, and families established pursuant to RCW 43.216.015 and the appropriate committees of the legislature by September 1, 2020, regarding the time frame for expansion of network administrator coverage to additional regions of the state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rPr>
          <w:u w:val="single"/>
        </w:rPr>
        <w:t xml:space="preserve">(10) The department shall, consistent with state and federal confidentiality requirements:</w:t>
      </w:r>
    </w:p>
    <w:p>
      <w:pPr>
        <w:spacing w:before="0" w:after="0" w:line="408" w:lineRule="exact"/>
        <w:ind w:left="0" w:right="0" w:firstLine="576"/>
        <w:jc w:val="left"/>
      </w:pPr>
      <w:r>
        <w:rPr>
          <w:u w:val="single"/>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u w:val="single"/>
        </w:rPr>
        <w:t xml:space="preserve">(b) Make all performance data available to the public.</w:t>
      </w:r>
    </w:p>
    <w:p>
      <w:pPr>
        <w:spacing w:before="0" w:after="0" w:line="408" w:lineRule="exact"/>
        <w:ind w:left="0" w:right="0" w:firstLine="576"/>
        <w:jc w:val="left"/>
      </w:pPr>
      <w:r>
        <w:rPr>
          <w:u w:val="single"/>
        </w:rPr>
        <w:t xml:space="preserve">(11) The department must not require existing network administrators to reapply to provide network administrator services in the coverage area of the existing network administrator on the effective date of this section.</w:t>
      </w:r>
    </w:p>
    <w:p>
      <w:pPr>
        <w:spacing w:before="0" w:after="0" w:line="408" w:lineRule="exact"/>
        <w:ind w:left="0" w:right="0" w:firstLine="576"/>
        <w:jc w:val="left"/>
      </w:pPr>
      <w:r>
        <w:rPr>
          <w:u w:val="single"/>
        </w:rPr>
        <w:t xml:space="preserve">(12) Beginning January 1, 2019, and in compliance with RCW 43.01.036, the department shall annually submit to the oversight board for children, youth, and families established pursuant to RCW 43.216.015 and the appropriate committees of the legislature a report detailing the status of the network administrator procurement and implementation process.</w:t>
      </w:r>
    </w:p>
    <w:p>
      <w:pPr>
        <w:spacing w:before="0" w:after="0" w:line="408" w:lineRule="exact"/>
        <w:ind w:left="0" w:right="0" w:firstLine="576"/>
        <w:jc w:val="left"/>
      </w:pPr>
      <w:r>
        <w:rPr>
          <w:u w:val="single"/>
        </w:rPr>
        <w:t xml:space="preserve">(13) In determining the cost estimate for expanded network administrator implementation, the department shall consider the value of the existing data platform for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65 of this act expire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a stated goal of the Legislature to expand the coverage area of network administrators to encompass the entire state.</w:t>
      </w:r>
    </w:p>
    <w:p>
      <w:pPr>
        <w:spacing w:before="0" w:after="0" w:line="408" w:lineRule="exact"/>
        <w:ind w:left="0" w:right="0" w:firstLine="576"/>
        <w:jc w:val="left"/>
      </w:pPr>
      <w:r>
        <w:rPr/>
        <w:t xml:space="preserve">(2) Requires that the Department of Children, Youth, and Families (DCYF) issue a request for proposal for expanded network administrator coverage on the east side of the Cascade Mountains by September 30, 2019, and that expanded implementation in this region must begin by January 30, 2019, if a qualified organization responds.</w:t>
      </w:r>
    </w:p>
    <w:p>
      <w:pPr>
        <w:spacing w:before="0" w:after="0" w:line="408" w:lineRule="exact"/>
        <w:ind w:left="0" w:right="0" w:firstLine="576"/>
        <w:jc w:val="left"/>
      </w:pPr>
      <w:r>
        <w:rPr/>
        <w:t xml:space="preserve">(3) Requires that the DCYF submit a recommendation to the Oversight Board for Children, Youth, and Families and the appropriate legislative committees by September 1, 2020, regarding the time frame for expansion of network administrator coverage to additional regions of the state.</w:t>
      </w:r>
    </w:p>
    <w:p>
      <w:pPr>
        <w:spacing w:before="0" w:after="0" w:line="408" w:lineRule="exact"/>
        <w:ind w:left="0" w:right="0" w:firstLine="576"/>
        <w:jc w:val="left"/>
      </w:pPr>
      <w:r>
        <w:rPr/>
        <w:t xml:space="preserve">(4) Removes the requirement that DCYF actively consult with other state agencies with relevant expertise and with philanthropic entities in conducting the procurement of network administrators.</w:t>
      </w:r>
    </w:p>
    <w:p>
      <w:pPr>
        <w:spacing w:before="0" w:after="0" w:line="408" w:lineRule="exact"/>
        <w:ind w:left="0" w:right="0" w:firstLine="576"/>
        <w:jc w:val="left"/>
      </w:pPr>
      <w:r>
        <w:rPr/>
        <w:t xml:space="preserve">(5) Removes the requirement that the director of the Office of Financial Management approve the network administrator request for proposal.</w:t>
      </w:r>
    </w:p>
    <w:p>
      <w:pPr>
        <w:spacing w:before="0" w:after="0" w:line="408" w:lineRule="exact"/>
        <w:ind w:left="0" w:right="0" w:firstLine="576"/>
        <w:jc w:val="left"/>
      </w:pPr>
      <w:r>
        <w:rPr/>
        <w:t xml:space="preserve">(6) Specifies that each network administrator shall: (a) Manage the entire family support and related service array within the geographic boundaries of a given network; and (b) have the authority to redistribute funding within the network based on provider performance and to address service gaps, if approved by the DCYF.</w:t>
      </w:r>
    </w:p>
    <w:p>
      <w:pPr>
        <w:spacing w:before="0" w:after="0" w:line="408" w:lineRule="exact"/>
        <w:ind w:left="0" w:right="0" w:firstLine="576"/>
        <w:jc w:val="left"/>
      </w:pPr>
      <w:r>
        <w:rPr/>
        <w:t xml:space="preserve">(7) Requires the DCYF to: (a) Share all relevant data with the network administrators; and (b) make all performance data available to the public.</w:t>
      </w:r>
    </w:p>
    <w:p>
      <w:pPr>
        <w:spacing w:before="0" w:after="0" w:line="408" w:lineRule="exact"/>
        <w:ind w:left="0" w:right="0" w:firstLine="576"/>
        <w:jc w:val="left"/>
      </w:pPr>
      <w:r>
        <w:rPr/>
        <w:t xml:space="preserve">(8) Specifies that the DCYF must not require existing network administrators to reapply to provide network administrator services in the coverage area of the existing network administrator on the effective date of this section.</w:t>
      </w:r>
    </w:p>
    <w:p>
      <w:pPr>
        <w:spacing w:before="0" w:after="0" w:line="408" w:lineRule="exact"/>
        <w:ind w:left="0" w:right="0" w:firstLine="576"/>
        <w:jc w:val="left"/>
      </w:pPr>
      <w:r>
        <w:rPr/>
        <w:t xml:space="preserve">(9) Requires the DCYF to annually submit to the Oversight Board for Children, Youth, and Families and the appropriate committees of the Legislature a report detailing the status of the network administrator procurement and implementation process.</w:t>
      </w:r>
    </w:p>
    <w:p>
      <w:pPr>
        <w:spacing w:before="0" w:after="0" w:line="408" w:lineRule="exact"/>
        <w:ind w:left="0" w:right="0" w:firstLine="576"/>
        <w:jc w:val="left"/>
      </w:pPr>
      <w:r>
        <w:rPr/>
        <w:t xml:space="preserve">(10) Requires the DCYF to consider the value of the existing data platform for child welfare services and not assume future costs in developing the existing child welfare data platform in determining the cost estimates for expanded network administrator implementation.</w:t>
      </w:r>
    </w:p>
    <w:p>
      <w:pPr>
        <w:spacing w:before="0" w:after="0" w:line="408" w:lineRule="exact"/>
        <w:ind w:left="0" w:right="0" w:firstLine="576"/>
        <w:jc w:val="left"/>
      </w:pPr>
      <w:r>
        <w:rPr/>
        <w:t xml:space="preserve">(11)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7518ae6684f84" /></Relationships>
</file>