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ea516ed3243e3" /></Relationships>
</file>

<file path=word/document.xml><?xml version="1.0" encoding="utf-8"?>
<w:document xmlns:w="http://schemas.openxmlformats.org/wordprocessingml/2006/main">
  <w:body>
    <w:p>
      <w:r>
        <w:rPr>
          <w:b/>
        </w:rPr>
        <w:r>
          <w:rPr/>
          <w:t xml:space="preserve">1047-S.E</w:t>
        </w:r>
      </w:r>
      <w:r>
        <w:rPr>
          <w:b/>
        </w:rPr>
        <w:t xml:space="preserve"> </w:t>
        <w:t xml:space="preserve">AMS</w:t>
      </w:r>
      <w:r>
        <w:rPr>
          <w:b/>
        </w:rPr>
        <w:t xml:space="preserve"> </w:t>
        <w:r>
          <w:rPr/>
          <w:t xml:space="preserve">HLTC</w:t>
        </w:r>
      </w:r>
      <w:r>
        <w:rPr>
          <w:b/>
        </w:rPr>
        <w:t xml:space="preserve"> </w:t>
        <w:r>
          <w:rPr/>
          <w:t xml:space="preserve">S5640.1</w:t>
        </w:r>
      </w:r>
      <w:r>
        <w:rPr>
          <w:b/>
        </w:rPr>
        <w:t xml:space="preserve"> - NOT FOR FLOOR USE</w:t>
      </w:r>
    </w:p>
    <w:p>
      <w:pPr>
        <w:ind w:left="0" w:right="0" w:firstLine="576"/>
      </w:pPr>
    </w:p>
    <w:p>
      <w:pPr>
        <w:spacing w:before="480" w:after="0" w:line="408" w:lineRule="exact"/>
      </w:pPr>
      <w:r>
        <w:rPr>
          <w:b/>
          <w:u w:val="single"/>
        </w:rPr>
        <w:t xml:space="preserve">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w:t>
      </w:r>
    </w:p>
    <w:p>
      <w:pPr>
        <w:spacing w:before="0" w:after="0" w:line="408" w:lineRule="exact"/>
        <w:ind w:left="0" w:right="0" w:firstLine="576"/>
        <w:jc w:val="left"/>
      </w:pPr>
      <w:r>
        <w:rPr/>
        <w:t xml:space="preserve">(a) A private label distributor or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(b) A repackager if the manufacturer of the drug is identified under section 4 of this act; or</w:t>
      </w:r>
    </w:p>
    <w:p>
      <w:pPr>
        <w:spacing w:before="0" w:after="0" w:line="408" w:lineRule="exact"/>
        <w:ind w:left="0" w:right="0" w:firstLine="576"/>
        <w:jc w:val="left"/>
      </w:pPr>
      <w:r>
        <w:rPr/>
        <w:t xml:space="preserve">(c) A nonprofit, 501(c)(3) health care corporation that repackages drugs solely for the purpose of supplying a drug to retail pharmacies operated by the corporation or an affiliate of the corporation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"Private label distributor" means a company that has a valid labeler code under 21 C.F.R. Sec. 207.17 and markets a drug product under its own name, but does not perform any manufacturing.</w:t>
      </w:r>
    </w:p>
    <w:p>
      <w:pPr>
        <w:spacing w:before="0" w:after="0" w:line="408" w:lineRule="exact"/>
        <w:ind w:left="0" w:right="0" w:firstLine="576"/>
        <w:jc w:val="left"/>
      </w:pPr>
      <w:r>
        <w:rPr/>
        <w:t xml:space="preserve">(20)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(21) "Repackager" means a person who owns or operates an establishment that repacks and relabels a product or package containing a covered drug for further sale, or for distribution without further transaction.</w:t>
      </w:r>
    </w:p>
    <w:p>
      <w:pPr>
        <w:spacing w:before="0" w:after="0" w:line="408" w:lineRule="exact"/>
        <w:ind w:left="0" w:right="0" w:firstLine="576"/>
        <w:jc w:val="left"/>
      </w:pPr>
      <w:r>
        <w:rPr/>
        <w:t xml:space="preserve">(22) "Retail pharmacy" means a place licensed as a pharmacy under chapter 18.64 RCW for the retail sale and dispensing of drugs.</w:t>
      </w:r>
    </w:p>
    <w:p>
      <w:pPr>
        <w:spacing w:before="0" w:after="0" w:line="408" w:lineRule="exact"/>
        <w:ind w:left="0" w:right="0" w:firstLine="576"/>
        <w:jc w:val="left"/>
      </w:pPr>
      <w:r>
        <w:rPr/>
        <w:t xml:space="preserve">(23)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private label distributor, or repackager must provide written notification to the department identifying the drug manufacturer from which the retail pharmacy, private label distributor, or repackager obtains a drug that it sells under its own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existing or future laws enacted by a county, city, town, or other political subdivision of the state regarding a drug take-back program or other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Pr>
        <w:spacing w:before="480" w:after="0" w:line="408" w:lineRule="exact"/>
      </w:pPr>
      <w:r>
        <w:rPr>
          <w:b/>
          <w:u w:val="single"/>
        </w:rPr>
        <w:t xml:space="preserve">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02/27/2018</w:t>
      </w:r>
    </w:p>
    <w:p>
      <w:pPr>
        <w:spacing w:before="0" w:after="0" w:line="408" w:lineRule="exact"/>
        <w:ind w:left="0" w:right="0" w:firstLine="576"/>
        <w:jc w:val="left"/>
      </w:pPr>
      <w:r>
        <w:rPr/>
        <w:t xml:space="preserve">On page 1, line 3 of the title, after "medications;" strike the remainder of the title and insert "amending RCW 42.56.270 and 69.41.030; adding a new section to chapter 69.50 RCW; adding a new section to chapter 70.95 RCW; adding new sections to chapter 43.131 RCW; adding a new chapter to Title 69 RCW; creating a new section; prescribing penalties; and providing an expiration date."</w:t>
      </w:r>
    </w:p>
    <w:p>
      <w:pPr>
        <w:spacing w:before="0" w:after="0" w:line="408" w:lineRule="exact"/>
        <w:ind w:left="0" w:right="0" w:firstLine="576"/>
        <w:jc w:val="left"/>
      </w:pPr>
      <w:r>
        <w:rPr>
          <w:u w:val="single"/>
        </w:rPr>
        <w:t xml:space="preserve">EFFECT:</w:t>
      </w:r>
      <w:r>
        <w:rPr/>
        <w:t xml:space="preserve"> Excludes private label distributors, repackagers, and certain nonprofit corporations from the definition of covered manufacturer and clarifies that the act preempts all existing and future local laws related to drug take-back or similar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52cd999394f9c" /></Relationships>
</file>