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0ab7ea89e45b9"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WM</w:t>
        </w:r>
      </w:r>
      <w:r>
        <w:rPr>
          <w:b/>
        </w:rPr>
        <w:t xml:space="preserve"> </w:t>
        <w:r>
          <w:rPr/>
          <w:t xml:space="preserve">S2595.1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WASHINGTON SEXUAL ASSAULT KIT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and administer the Washington sexual assault kit initiative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Washington association of sheriffs and police chiefs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at least two eligible applicants, at least one located in western Washington and at least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Washington association of sheriffs and police chiefs,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team or teams for follow-up investigations and prosecutions resulting from evidence from the testing of previously unsubmitted sexual assault kits. Cold case or sexual assault investigative teams must: Include prosecutors, law enforcement, and victim advocates for the duration of the project; use victim-centered, trauma-informed protocols, including for victim notification; and use protocols and policies established by the Washington association of sheriffs and police chiefs.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team or teams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Washington association of sheriffs and police chiefs, in addition to any data required by the Washington association of sheriffs and police chiefs: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amounts appropriated for this specific purpose,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kit initiative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legislative appropriations and transfers; gifts, grants, and other donations; and all other revenues directed to the account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created in section 1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3 through 5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the Washington association of sheriffs and police chiefs for the purpose of funding the Washington sexual assault kit initiative project created in section 1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(a)(i),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3 through 5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(4)(b),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(5)</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On page 1, line 1 of the title, after "assault;" strike the remainder of the title and insert "amending RCW 43.330.470; amending 2015 c 247 s 2 (uncodified); reenacting and amending RCW 43.84.092; adding a new section to chapter 36.28A RCW; adding new sections to chapter 43.101 RCW; and creating a new section."</w:t>
      </w:r>
    </w:p>
    <w:p>
      <w:pPr>
        <w:spacing w:before="0" w:after="0" w:line="408" w:lineRule="exact"/>
        <w:ind w:left="0" w:right="0" w:firstLine="576"/>
        <w:jc w:val="left"/>
      </w:pPr>
      <w:r>
        <w:rPr>
          <w:u w:val="single"/>
        </w:rPr>
        <w:t xml:space="preserve">EFFECT:</w:t>
      </w:r>
      <w:r>
        <w:rPr/>
        <w:t xml:space="preserve"> Removes authorization for the Office of the Attorney General to assist law enforcement officials and prosecutors with investigations and prosecutions of cold cases tied to previously unsubmitted SAKs. Transfers responsibility for establishing and administering the WA sexual assault kit project from the attorney general to the Washington Association of Sheriffs and Police Chiefs. Changes terminology relating to the Washington Sexual Assault Kit Initiative Pilot Project, removing the term "pilot" and broadening the possible scope of the project beyond two eligible applicants. Makes technical numbering corrections. Takes out sections that removed the end date for the 6.2 percent fee increase on liquor licenses and that permitted use to fund the Sexual Assault Prevention and Response Account. Makes all sections of the bill where funding is necessary,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9e6f53eb24623" /></Relationships>
</file>