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d63d04a274240" /></Relationships>
</file>

<file path=word/document.xml><?xml version="1.0" encoding="utf-8"?>
<w:document xmlns:w="http://schemas.openxmlformats.org/wordprocessingml/2006/main">
  <w:body>
    <w:p>
      <w:r>
        <w:rPr>
          <w:b/>
        </w:rPr>
        <w:r>
          <w:rPr/>
          <w:t xml:space="preserve">1439-S2.E</w:t>
        </w:r>
      </w:r>
      <w:r>
        <w:rPr>
          <w:b/>
        </w:rPr>
        <w:t xml:space="preserve"> </w:t>
        <w:t xml:space="preserve">AMS</w:t>
      </w:r>
      <w:r>
        <w:rPr>
          <w:b/>
        </w:rPr>
        <w:t xml:space="preserve"> </w:t>
        <w:r>
          <w:rPr/>
          <w:t xml:space="preserve">WM</w:t>
        </w:r>
      </w:r>
      <w:r>
        <w:rPr>
          <w:b/>
        </w:rPr>
        <w:t xml:space="preserve"> </w:t>
        <w:r>
          <w:rPr/>
          <w:t xml:space="preserve">S5663.1</w:t>
        </w:r>
      </w:r>
      <w:r>
        <w:rPr>
          <w:b/>
        </w:rPr>
        <w:t xml:space="preserve"> - NOT FOR FLOOR USE</w:t>
      </w:r>
    </w:p>
    <w:p>
      <w:pPr>
        <w:ind w:left="0" w:right="0" w:firstLine="576"/>
      </w:pP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followed by facilitated discussions amongst agencies and stakeholders that resulted in a second report issued in 2017. This act incorporates some of the findings and recommendations from the first phase of the report, including the benefits of ensuring that recruitment advertising and materials are consistent with state and federal verified data. In addition, this act incorporates findings regarding the need for a single student complaint portal and for agencies to have timely access to trust funds for tuition recovery and other methods of responding when schools close. This act also authorizes the second part of the study, as recommended by the center, that will include discussions of agency jurisdiction and consistency and how to improve the agencies' abilities to respond to school closures.</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up to seventy-five thousand dollars,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 The study must also contain recommendations on strengthening agencies' abilities to respond to, and protect student consumers from, school closures. Recommendations on agency responses include the use of trust funds and surety bonds for tuition recovery and other related losses.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4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and</w:t>
      </w:r>
    </w:p>
    <w:p>
      <w:pPr>
        <w:spacing w:before="0" w:after="0" w:line="408" w:lineRule="exact"/>
        <w:ind w:left="0" w:right="0" w:firstLine="576"/>
        <w:jc w:val="left"/>
      </w:pPr>
      <w:r>
        <w:rPr/>
        <w:t xml:space="preserve">(c) Violate the provision of section 5(1)(b) of this act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Present data about its completion rates, employment rates, loan or indebtedness metrics, or its graduates' median hourly and annual earnings, the posted data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r>
        <w:rPr>
          <w:u w:val="single"/>
        </w:rPr>
        <w:t xml:space="preserve">; and</w:t>
      </w:r>
    </w:p>
    <w:p>
      <w:pPr>
        <w:spacing w:before="0" w:after="0" w:line="408" w:lineRule="exact"/>
        <w:ind w:left="0" w:right="0" w:firstLine="576"/>
        <w:jc w:val="left"/>
      </w:pPr>
      <w:r>
        <w:rPr>
          <w:u w:val="single"/>
        </w:rPr>
        <w:t xml:space="preserve">(k)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u w:val="single"/>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u w:val="single"/>
        </w:rPr>
        <w:t xml:space="preserve">(ii) Any state or federal attorney general's office or department of justice;</w:t>
      </w:r>
    </w:p>
    <w:p>
      <w:pPr>
        <w:spacing w:before="0" w:after="0" w:line="408" w:lineRule="exact"/>
        <w:ind w:left="0" w:right="0" w:firstLine="576"/>
        <w:jc w:val="left"/>
      </w:pPr>
      <w:r>
        <w:rPr>
          <w:u w:val="single"/>
        </w:rPr>
        <w:t xml:space="preserve">(iii) Any regulator that approves the operation of the private vocational school;</w:t>
      </w:r>
    </w:p>
    <w:p>
      <w:pPr>
        <w:spacing w:before="0" w:after="0" w:line="408" w:lineRule="exact"/>
        <w:ind w:left="0" w:right="0" w:firstLine="576"/>
        <w:jc w:val="left"/>
      </w:pPr>
      <w:r>
        <w:rPr>
          <w:u w:val="single"/>
        </w:rPr>
        <w:t xml:space="preserve">(iv) The federal consumer financial protection bureau or the federal securities and exchange commission; and</w:t>
      </w:r>
    </w:p>
    <w:p>
      <w:pPr>
        <w:spacing w:before="0" w:after="0" w:line="408" w:lineRule="exact"/>
        <w:ind w:left="0" w:right="0" w:firstLine="576"/>
        <w:jc w:val="left"/>
      </w:pPr>
      <w:r>
        <w:rPr>
          <w:u w:val="single"/>
        </w:rPr>
        <w:t xml:space="preserve">(v) Any accrediting agency</w:t>
      </w:r>
      <w:r>
        <w:rPr/>
        <w:t xml:space="preserve">.</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 or</w:t>
      </w:r>
    </w:p>
    <w:p>
      <w:pPr>
        <w:spacing w:before="0" w:after="0" w:line="408" w:lineRule="exact"/>
        <w:ind w:left="0" w:right="0" w:firstLine="576"/>
        <w:jc w:val="left"/>
      </w:pPr>
      <w:r>
        <w:rPr>
          <w:u w:val="single"/>
        </w:rPr>
        <w:t xml:space="preserve">(n)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director shall establish, maintain, and administer a department of licensing tuition recovery trust fund created in section 10 of this act.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of licensing tuition recovery trust fund is created in the custody of the state treasurer. All receipts from each school owner under section 9 of this act must be deposited into the fund. Expenditures from the fund may be used only for the purposes in section 9 of this act. Only the director or the director's designee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council shall establish, maintain, and administer a student achievement council tuition recovery trust fund created in section 12 of this act.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t xml:space="preserve">(2)(a) The council may impose a fee structure, set forth in rule, on schools licensed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in the event of a school closure. The council shall adopt schedules of times and amounts for effecting payments of fees. To reach the amount determined, the council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school commences on the date of the initial deposit into the student achievement council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owners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The student achievement council tuition recovery trust fund is created in the custody of the state treasurer. All receipts from fees imposed on schools licensed under this chapter and section 11 of this act must be deposited into the fund. Expenditures from the fund may be used only for the purposes in section 11 of this act. Only the council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rPr>
          <w:u w:val="single"/>
        </w:rPr>
        <w:t xml:space="preserve">the department of licensing tuition recovery trust fund,</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student achievement council tuition recovery trust fund,</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80" w:after="0" w:line="408" w:lineRule="exact"/>
      </w:pPr>
      <w:r>
        <w:rPr>
          <w:b/>
          <w:u w:val="single"/>
        </w:rPr>
        <w:t xml:space="preserve">E2SHB 1439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03/01/2018</w:t>
      </w:r>
    </w:p>
    <w:p>
      <w:pPr>
        <w:spacing w:before="0" w:after="0" w:line="408" w:lineRule="exact"/>
        <w:ind w:left="0" w:right="0" w:firstLine="576"/>
        <w:jc w:val="left"/>
      </w:pPr>
      <w:r>
        <w:rPr/>
        <w:t xml:space="preserve">On page 1, line 3 of the title, after "practices;" strike the remainder of the title and insert "amending RCW 28A.85.090, 28C.10.050, 28C.10.110, and 28C.10.130; reenacting and amending RCW 43.84.092; adding new sections to chapter 28B.85 RCW; adding new sections to chapter 18.16 RCW; adding a new section to chapter 28B.77 RCW; creating new sections; and prescribing penalties."</w:t>
      </w:r>
    </w:p>
    <w:p>
      <w:pPr>
        <w:spacing w:before="0" w:after="0" w:line="408" w:lineRule="exact"/>
        <w:ind w:left="0" w:right="0" w:firstLine="576"/>
        <w:jc w:val="left"/>
      </w:pPr>
      <w:r>
        <w:rPr>
          <w:u w:val="single"/>
        </w:rPr>
        <w:t xml:space="preserve">EFFECT:</w:t>
      </w:r>
      <w:r>
        <w:rPr/>
        <w:t xml:space="preserve"> Requires the Washington Student Achievement Council (WSAC) to include in the second phase of its study of for-profit degree-granting institutions and private vocational schools recommendations on strengthening agencies' ability to respond to school closures, including access to trust funds; mandates that the WSAC may not delegate its authority over compliance in this state; creates separate tuition recovery trust funds supported by fees imposed on schools licensed under chapter 18.16 RCW by the DOL and chapter 28B.85 RCW by the WSAC; prohibits the use of military logos in promotional materials by private vocational schools and degree-granting institutions; prohibits the use of proprietary loans by entities with over 150 students that have been open for more than two years; requires disclosure by any school or degree-granting institution under investigation by any oversight entities; and requires the WorkForce Board, WSAC, and DOL to collaborate on the creation of a single portal for student complaints within existing resources and annually report on the number of complaints.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3f7f5f0b94780" /></Relationships>
</file>