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107ac3ac042a2"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LGOV</w:t>
        </w:r>
      </w:r>
      <w:r>
        <w:rPr>
          <w:b/>
        </w:rPr>
        <w:t xml:space="preserve"> </w:t>
        <w:r>
          <w:rPr/>
          <w:t xml:space="preserve">S2452.1</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of the following counties, and each of the cities in such counties, may adopt development regulations to assure that agriculture, forest, and mineral resource lands adjacent to short line railroads may be developed for freight rail dependent uses: Counties located to the east of the crest of the Cascade mountains; and counties located to the west of the crest of the Cascade mountains that have both a population of at least two hundred forty thousand and a border that touches another state.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0" w:after="0" w:line="408" w:lineRule="exact"/>
        <w:ind w:left="0" w:right="0" w:firstLine="576"/>
        <w:jc w:val="left"/>
      </w:pPr>
      <w:r>
        <w:rPr>
          <w:u w:val="single"/>
        </w:rPr>
        <w:t xml:space="preserve">(5) The department of commerce is directed to submit a written report to the legislature by November 15th of each even-numbered year, beginning in 2022 and ending in 2032, that describes any job gains, tax impacts, and impacts to resource lands resulting from freight rail dependent uses sited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for each of the following counties, and for each of the cities in such counties, include development of freight rail dependent uses on land adjacent to a short line railroad: Counties located to the east of the crest of the Cascade mountains; and counties located to the west of the crest of the Cascade mountains that have both a population of at least two hundred forty thousand and a border that touches another state.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04/12/2017</w:t>
      </w:r>
    </w:p>
    <w:p>
      <w:pPr>
        <w:spacing w:before="0" w:after="0" w:line="408" w:lineRule="exact"/>
        <w:ind w:left="0" w:right="0" w:firstLine="576"/>
        <w:jc w:val="left"/>
      </w:pPr>
      <w:r>
        <w:rPr/>
        <w:t xml:space="preserve">On page 1, line 2 of the title, after "regulations;" strike the remainder of the title and insert "amending RCW 36.70A.030, 36.70A.060, 36.70A.070, and 36.70A.108; and creating a new section."</w:t>
      </w:r>
    </w:p>
    <w:p>
      <w:pPr>
        <w:spacing w:before="0" w:after="0" w:line="408" w:lineRule="exact"/>
        <w:ind w:left="0" w:right="0" w:firstLine="576"/>
        <w:jc w:val="left"/>
      </w:pPr>
      <w:r>
        <w:rPr>
          <w:u w:val="single"/>
        </w:rPr>
        <w:t xml:space="preserve">EFFECT:</w:t>
      </w:r>
      <w:r>
        <w:rPr/>
        <w:t xml:space="preserve"> Authorizes all counties east of the Cascades, rather than just those with at least 240,000 people, to:</w:t>
      </w:r>
    </w:p>
    <w:p>
      <w:pPr>
        <w:spacing w:before="0" w:after="0" w:line="408" w:lineRule="exact"/>
        <w:ind w:left="0" w:right="0" w:firstLine="576"/>
        <w:jc w:val="left"/>
      </w:pPr>
      <w:r>
        <w:rPr/>
        <w:t xml:space="preserve">(1) Adopt development regulations to allow resource lands adjacent to short line railroads to be developed for freight rail dependent uses; and</w:t>
      </w:r>
    </w:p>
    <w:p>
      <w:pPr>
        <w:spacing w:before="0" w:after="0" w:line="408" w:lineRule="exact"/>
        <w:ind w:left="0" w:right="0" w:firstLine="576"/>
        <w:jc w:val="left"/>
      </w:pPr>
      <w:r>
        <w:rPr/>
        <w:t xml:space="preserve">(2) Include development of freight rail dependent uses in the transportation element of their comprehensive plan and modify their development regulations to accommodate such 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6b3cea4d749bf" /></Relationships>
</file>