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a36ac08844cb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1661-S2.E2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S3010.1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2E2SHB 1661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07/01/2017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34, after "procedure" insert "except for health and safety rules related to mandatory water and environmental testing for home-based day care providers"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beginning on line 6, after "act" strike all material through "decisions" on line 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35, line 38, after "</w:t>
      </w:r>
      <w:r>
        <w:rPr>
          <w:u w:val="single"/>
        </w:rPr>
        <w:t xml:space="preserve">act)</w:t>
      </w:r>
      <w:r>
        <w:rPr/>
        <w:t xml:space="preserve">" insert "</w:t>
      </w:r>
      <w:r>
        <w:rPr>
          <w:u w:val="single"/>
        </w:rPr>
        <w:t xml:space="preserve">except for rules related to mandatory water and environmental testing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38, line 4, after "providers." insert "</w:t>
      </w:r>
      <w:r>
        <w:rPr>
          <w:u w:val="single"/>
        </w:rPr>
        <w:t xml:space="preserve">The rule-making authority does not include any authority to mandate or require water testing for home day care providers.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Department rule-making authority by prohibiting the Department from issuing rules related to mandatory water and environmental testing for home-based day care providers.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Subjects health and safety license violations to final review process if requested by licensee; such violations were previously exempt from final review.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c0f6f31204bed" /></Relationships>
</file>