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3b442e01d462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2003.E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S2571.2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2003</w:t>
      </w:r>
      <w:r>
        <w:t xml:space="preserve"> -</w:t>
      </w:r>
      <w:r>
        <w:t xml:space="preserve"> </w:t>
        <w:t xml:space="preserve">S AMD TO TRAN COMM AMD (S-2553.1/17)</w:t>
      </w:r>
      <w:r>
        <w:t xml:space="preserve"> </w:t>
      </w:r>
      <w:r>
        <w:rPr>
          <w:b/>
        </w:rPr>
        <w:t xml:space="preserve">225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ADOPTED 04/10/2017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25 of the amendment, after "</w:t>
      </w:r>
      <w:r>
        <w:rPr>
          <w:u w:val="single"/>
        </w:rPr>
        <w:t xml:space="preserve">service</w:t>
      </w:r>
      <w:r>
        <w:rPr/>
        <w:t xml:space="preserve">" insert "</w:t>
      </w:r>
      <w:r>
        <w:rPr>
          <w:u w:val="single"/>
        </w:rPr>
        <w:t xml:space="preserve">. For the purposes of this subsection (1)(h), "in service" means while in the process of picking up, transporting, or discharging a passenger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Defines what it is for a wheelchair accessible taxicab or for hire vehicle to be "in service" for using special parking privileges.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2ee58ce1b4156" /></Relationships>
</file>