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6ee02b0f945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2259.E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MILO</w:t>
        </w:r>
      </w:r>
      <w:r>
        <w:rPr>
          <w:b/>
        </w:rPr>
        <w:t xml:space="preserve"> </w:t>
        <w:r>
          <w:rPr/>
          <w:t xml:space="preserve">S5453.1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2259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6, strike all of section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EHB 2259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"43.09.440;" strike "repealing RCW 43.09.265;"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Reinstates the requirement that the auditor conduct performance audits of the long-term in-home care program on a biennial basis.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30343f6014b0b" /></Relationships>
</file>