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43be0a3b435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2777.E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S6016.1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2777</w:t>
      </w:r>
      <w:r>
        <w:t xml:space="preserve"> -</w:t>
      </w:r>
      <w:r>
        <w:t xml:space="preserve"> </w:t>
        <w:t xml:space="preserve">S AMD TO LAW COMM AMD (S-5578.1/18)</w:t>
      </w:r>
      <w:r>
        <w:t xml:space="preserve"> </w:t>
      </w:r>
      <w:r>
        <w:rPr>
          <w:b/>
        </w:rPr>
        <w:t xml:space="preserve">785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PULLED 03/02/2018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4 of the amendment, after "board" strike "must" and insert "may"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Board of Tax Appeals may award attorney fees and expenses to a prevailing qualified party.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88c85cf8472a" /></Relationships>
</file>