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3d88609d04d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S1979.1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  <w:r>
        <w:rPr>
          <w:b/>
        </w:rPr>
        <w:t xml:space="preserve">NOT ADOPTED 03/23/2017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19, after line 21, strike all material through "RCW." on page 21, line 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 and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3, after "</w:t>
      </w:r>
      <w:r>
        <w:rPr>
          <w:b/>
        </w:rPr>
        <w:t xml:space="preserve">Sec. 501.</w:t>
      </w:r>
      <w:r>
        <w:rPr/>
        <w:t xml:space="preserve">" strike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11, strike all of subsection (2)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  <w:r>
        <w:rPr>
          <w:b/>
        </w:rPr>
        <w:t xml:space="preserve">NOT ADOPTED 03/23/2017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"82.16.020," strike "82.18.040, and 39.36.060" and insert "and 82.18.040" and beginning on line 5, after "RCW;" strike all material through "RCW;" on line 6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contingency for a WA Housing Finance Commission infrastructure borrowing program if the constitutional amendment, SJR 8201, fails. SJR 8201 is necessary to implement the infrastructure borrowing program in the Public Works Board/Office of the State Treasurer.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a700795884622" /></Relationships>
</file>