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6ad74408d4230" /></Relationships>
</file>

<file path=word/document.xml><?xml version="1.0" encoding="utf-8"?>
<w:document xmlns:w="http://schemas.openxmlformats.org/wordprocessingml/2006/main">
  <w:body>
    <w:p>
      <w:r>
        <w:rPr>
          <w:b/>
        </w:rPr>
        <w:r>
          <w:rPr/>
          <w:t xml:space="preserve">5126</w:t>
        </w:r>
      </w:r>
      <w:r>
        <w:rPr>
          <w:b/>
        </w:rPr>
        <w:t xml:space="preserve"> </w:t>
        <w:t xml:space="preserve">AMS</w:t>
      </w:r>
      <w:r>
        <w:rPr>
          <w:b/>
        </w:rPr>
        <w:t xml:space="preserve"> </w:t>
        <w:r>
          <w:rPr/>
          <w:t xml:space="preserve">HASE</w:t>
        </w:r>
      </w:r>
      <w:r>
        <w:rPr>
          <w:b/>
        </w:rPr>
        <w:t xml:space="preserve"> </w:t>
        <w:r>
          <w:rPr/>
          <w:t xml:space="preserve">S1935.1</w:t>
        </w:r>
      </w:r>
      <w:r>
        <w:rPr>
          <w:b/>
        </w:rPr>
        <w:t xml:space="preserve"> - NOT FOR FLOOR USE</w:t>
      </w:r>
    </w:p>
    <w:p>
      <w:pPr>
        <w:ind w:left="0" w:right="0" w:firstLine="576"/>
      </w:pPr>
    </w:p>
    <w:p>
      <w:pPr>
        <w:spacing w:before="480" w:after="0" w:line="408" w:lineRule="exact"/>
      </w:pPr>
      <w:r>
        <w:rPr>
          <w:b/>
          <w:u w:val="single"/>
        </w:rPr>
        <w:t xml:space="preserve">SB 5126</w:t>
      </w:r>
      <w:r>
        <w:t xml:space="preserve"> -</w:t>
      </w:r>
      <w:r>
        <w:t xml:space="preserve"> </w:t>
        <w:t xml:space="preserve">S AMD</w:t>
      </w:r>
      <w:r>
        <w:t xml:space="preserve"> </w:t>
      </w:r>
      <w:r>
        <w:rPr>
          <w:b/>
        </w:rPr>
        <w:t xml:space="preserve">35</w:t>
      </w:r>
    </w:p>
    <w:p>
      <w:pPr>
        <w:spacing w:before="0" w:after="0" w:line="408" w:lineRule="exact"/>
        <w:ind w:left="0" w:right="0" w:firstLine="576"/>
        <w:jc w:val="left"/>
      </w:pPr>
      <w:r>
        <w:rPr/>
        <w:t xml:space="preserve">By Senator Hasegawa</w:t>
      </w:r>
    </w:p>
    <w:p>
      <w:pPr>
        <w:jc w:val="right"/>
      </w:pPr>
      <w:r>
        <w:rPr>
          <w:b/>
        </w:rPr>
        <w:t xml:space="preserve">NOT ADOPTED 03/02/2017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2019,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An ((</w:t>
      </w:r>
      <w:r>
        <w:rPr>
          <w:strike/>
        </w:rPr>
        <w:t xml:space="preserve">elections [election]</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consultation with the department of enterprise services, the office of the chief information officer, and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may establish an equipment replacement fund that must be used explicitly to replace vote tallying equipment and only the county auditor may authorize expenditures from the fund. Election billing charges must be sufficient to fund the replacement of the equipment no later than the year 2019."</w:t>
      </w:r>
    </w:p>
    <w:p>
      <w:pPr>
        <w:spacing w:before="480" w:after="0" w:line="408" w:lineRule="exact"/>
      </w:pPr>
      <w:r>
        <w:rPr>
          <w:b/>
          <w:u w:val="single"/>
        </w:rPr>
        <w:t xml:space="preserve">SB 5126</w:t>
      </w:r>
      <w:r>
        <w:t xml:space="preserve"> -</w:t>
      </w:r>
      <w:r>
        <w:t xml:space="preserve"> </w:t>
        <w:t xml:space="preserve">S AMD</w:t>
      </w:r>
      <w:r>
        <w:t xml:space="preserve"> </w:t>
      </w:r>
      <w:r>
        <w:rPr>
          <w:b/>
        </w:rPr>
        <w:t xml:space="preserve">35</w:t>
      </w:r>
    </w:p>
    <w:p>
      <w:pPr>
        <w:spacing w:before="0" w:after="0" w:line="408" w:lineRule="exact"/>
        <w:ind w:left="0" w:right="0" w:firstLine="576"/>
        <w:jc w:val="left"/>
      </w:pPr>
      <w:r>
        <w:rPr/>
        <w:t xml:space="preserve">By Senator Hasegawa</w:t>
      </w:r>
    </w:p>
    <w:p>
      <w:pPr>
        <w:jc w:val="right"/>
      </w:pPr>
      <w:r>
        <w:rPr>
          <w:b/>
        </w:rPr>
        <w:t xml:space="preserve">NOT ADOPTED 03/02/2017</w:t>
      </w:r>
    </w:p>
    <w:p>
      <w:pPr>
        <w:spacing w:before="0" w:after="0" w:line="408" w:lineRule="exact"/>
        <w:ind w:left="0" w:right="0" w:firstLine="576"/>
        <w:jc w:val="left"/>
      </w:pPr>
      <w:r>
        <w:rPr/>
        <w:t xml:space="preserve">On page 1, line 1 of the title, after "design;" strike the remainder of the title and insert "amending RCW 29A.36.111; and adding a new section to chapter 29A.36 RCW."</w:t>
      </w:r>
    </w:p>
    <w:p>
      <w:pPr>
        <w:spacing w:before="0" w:after="0" w:line="408" w:lineRule="exact"/>
        <w:ind w:left="0" w:right="0" w:firstLine="576"/>
        <w:jc w:val="left"/>
      </w:pPr>
      <w:r>
        <w:rPr>
          <w:u w:val="single"/>
        </w:rPr>
        <w:t xml:space="preserve">EFFECT:</w:t>
      </w:r>
      <w:r>
        <w:rPr/>
        <w:t xml:space="preserve"> (1) Moves deadline for implementation of a uniform ballot design to 2019, or upon replacement of vote-tallying equipment.</w:t>
      </w:r>
    </w:p>
    <w:p>
      <w:pPr>
        <w:spacing w:before="0" w:after="0" w:line="408" w:lineRule="exact"/>
        <w:ind w:left="0" w:right="0" w:firstLine="576"/>
        <w:jc w:val="left"/>
      </w:pPr>
      <w:r>
        <w:rPr/>
        <w:t xml:space="preserve">(2) Requires that the Secretary of State consult with the Chief Information Officer if developing a master contract for purchase of vote-tallying equipment.</w:t>
      </w:r>
    </w:p>
    <w:p>
      <w:pPr>
        <w:spacing w:before="0" w:after="0" w:line="408" w:lineRule="exact"/>
        <w:ind w:left="0" w:right="0" w:firstLine="576"/>
        <w:jc w:val="left"/>
      </w:pPr>
      <w:r>
        <w:rPr/>
        <w:t xml:space="preserve">(3) Requires that billing charges in a county vote-tallying equipment replacement fund, if used, be sufficient to fund replacement of vote-tallying equipment by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502f4523e4431" /></Relationships>
</file>