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968103c32541a4" /></Relationships>
</file>

<file path=word/document.xml><?xml version="1.0" encoding="utf-8"?>
<w:document xmlns:w="http://schemas.openxmlformats.org/wordprocessingml/2006/main">
  <w:body>
    <w:p>
      <w:r>
        <w:rPr>
          <w:b/>
        </w:rPr>
        <w:r>
          <w:rPr/>
          <w:t xml:space="preserve">5456-S</w:t>
        </w:r>
      </w:r>
      <w:r>
        <w:rPr>
          <w:b/>
        </w:rPr>
        <w:t xml:space="preserve"> </w:t>
        <w:t xml:space="preserve">AMS</w:t>
      </w:r>
      <w:r>
        <w:rPr>
          <w:b/>
        </w:rPr>
        <w:t xml:space="preserve"> </w:t>
        <w:r>
          <w:rPr/>
          <w:t xml:space="preserve">NELS</w:t>
        </w:r>
      </w:r>
      <w:r>
        <w:rPr>
          <w:b/>
        </w:rPr>
        <w:t xml:space="preserve"> </w:t>
        <w:r>
          <w:rPr/>
          <w:t xml:space="preserve">S1874.1</w:t>
        </w:r>
      </w:r>
      <w:r>
        <w:rPr>
          <w:b/>
        </w:rPr>
        <w:t xml:space="preserve"> - NOT FOR FLOOR USE</w:t>
      </w:r>
    </w:p>
    <w:p>
      <w:pPr>
        <w:ind w:left="0" w:right="0" w:firstLine="576"/>
      </w:pPr>
    </w:p>
    <w:p>
      <w:pPr>
        <w:spacing w:before="480" w:after="0" w:line="408" w:lineRule="exact"/>
      </w:pPr>
      <w:r>
        <w:rPr>
          <w:b/>
          <w:u w:val="single"/>
        </w:rPr>
        <w:t xml:space="preserve">SSB 5456</w:t>
      </w:r>
      <w:r>
        <w:t xml:space="preserve"> -</w:t>
      </w:r>
      <w:r>
        <w:t xml:space="preserve"> </w:t>
        <w:t xml:space="preserve">S AMD</w:t>
      </w:r>
      <w:r>
        <w:t xml:space="preserve"> </w:t>
      </w:r>
      <w:r>
        <w:rPr>
          <w:b/>
        </w:rPr>
        <w:t xml:space="preserve">21</w:t>
      </w:r>
    </w:p>
    <w:p>
      <w:pPr>
        <w:spacing w:before="0" w:after="0" w:line="408" w:lineRule="exact"/>
        <w:ind w:left="0" w:right="0" w:firstLine="576"/>
        <w:jc w:val="left"/>
      </w:pPr>
      <w:r>
        <w:rPr/>
        <w:t xml:space="preserve">By Senator Nelson</w:t>
      </w:r>
    </w:p>
    <w:p>
      <w:pPr>
        <w:jc w:val="right"/>
      </w:pPr>
      <w:r>
        <w:rPr>
          <w:b/>
        </w:rPr>
        <w:t xml:space="preserve">NOT ADOPTED 02/28/2017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medical debt is a significant problem impacting a person's ability to work, maintain their home, and provide for themselves and their families. The legislature further finds that understanding the causes and impacts of medical debt on Washington residents is an important first step in developing policy options to address this serious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medical debt is established, with nine members appointed as follows:</w:t>
      </w:r>
    </w:p>
    <w:p>
      <w:pPr>
        <w:spacing w:before="0" w:after="0" w:line="408" w:lineRule="exact"/>
        <w:ind w:left="0" w:right="0" w:firstLine="576"/>
        <w:jc w:val="left"/>
      </w:pPr>
      <w:r>
        <w:rPr/>
        <w:t xml:space="preserve">(a) The president of the senate must appoint one member from each of the two largest caucuses of the senate;</w:t>
      </w:r>
    </w:p>
    <w:p>
      <w:pPr>
        <w:spacing w:before="0" w:after="0" w:line="408" w:lineRule="exact"/>
        <w:ind w:left="0" w:right="0" w:firstLine="576"/>
        <w:jc w:val="left"/>
      </w:pPr>
      <w:r>
        <w:rPr/>
        <w:t xml:space="preserve">(b)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(c) The director of the department of health or the director's designee;</w:t>
      </w:r>
    </w:p>
    <w:p>
      <w:pPr>
        <w:spacing w:before="0" w:after="0" w:line="408" w:lineRule="exact"/>
        <w:ind w:left="0" w:right="0" w:firstLine="576"/>
        <w:jc w:val="left"/>
      </w:pPr>
      <w:r>
        <w:rPr/>
        <w:t xml:space="preserve">(d) The attorney general or the attorney general's designee;</w:t>
      </w:r>
    </w:p>
    <w:p>
      <w:pPr>
        <w:spacing w:before="0" w:after="0" w:line="408" w:lineRule="exact"/>
        <w:ind w:left="0" w:right="0" w:firstLine="576"/>
        <w:jc w:val="left"/>
      </w:pPr>
      <w:r>
        <w:rPr/>
        <w:t xml:space="preserve">(e) A representative from an organization representing medical service providers, appointed by the chair or cochairs;</w:t>
      </w:r>
    </w:p>
    <w:p>
      <w:pPr>
        <w:spacing w:before="0" w:after="0" w:line="408" w:lineRule="exact"/>
        <w:ind w:left="0" w:right="0" w:firstLine="576"/>
        <w:jc w:val="left"/>
      </w:pPr>
      <w:r>
        <w:rPr/>
        <w:t xml:space="preserve">(f) A representative from an organization representing a nonprofit community organization, appointed by the chair or cochairs; and</w:t>
      </w:r>
    </w:p>
    <w:p>
      <w:pPr>
        <w:spacing w:before="0" w:after="0" w:line="408" w:lineRule="exact"/>
        <w:ind w:left="0" w:right="0" w:firstLine="576"/>
        <w:jc w:val="left"/>
      </w:pPr>
      <w:r>
        <w:rPr/>
        <w:t xml:space="preserve">(g) A representative of an organization that provides charity care, appointed by the chair or cochairs.</w:t>
      </w:r>
    </w:p>
    <w:p>
      <w:pPr>
        <w:spacing w:before="0" w:after="0" w:line="408" w:lineRule="exact"/>
        <w:ind w:left="0" w:right="0" w:firstLine="576"/>
        <w:jc w:val="left"/>
      </w:pPr>
      <w:r>
        <w:rPr/>
        <w:t xml:space="preserve">(2) The task force must:</w:t>
      </w:r>
    </w:p>
    <w:p>
      <w:pPr>
        <w:spacing w:before="0" w:after="0" w:line="408" w:lineRule="exact"/>
        <w:ind w:left="0" w:right="0" w:firstLine="576"/>
        <w:jc w:val="left"/>
      </w:pPr>
      <w:r>
        <w:rPr/>
        <w:t xml:space="preserve">(a) Choose a chair or cochairs from among its legislative membership at its initial meeting. The initial meeting must be called by agreement of a majority of the appointed members;</w:t>
      </w:r>
    </w:p>
    <w:p>
      <w:pPr>
        <w:spacing w:before="0" w:after="0" w:line="408" w:lineRule="exact"/>
        <w:ind w:left="0" w:right="0" w:firstLine="576"/>
        <w:jc w:val="left"/>
      </w:pPr>
      <w:r>
        <w:rPr/>
        <w:t xml:space="preserve">(b) Review the scope of medical debt in Washington including the major causes of medical debt, the issues and processes that occur when medical debt goes to a collection agency, and how charity care and other services provide assistance to those in need;</w:t>
      </w:r>
    </w:p>
    <w:p>
      <w:pPr>
        <w:spacing w:before="0" w:after="0" w:line="408" w:lineRule="exact"/>
        <w:ind w:left="0" w:right="0" w:firstLine="576"/>
        <w:jc w:val="left"/>
      </w:pPr>
      <w:r>
        <w:rPr/>
        <w:t xml:space="preserve">(c) Provide any recommendations identified by the task force that involve statutory changes, funding recommendations, or administrative action to the legislature. If statutory changes are recommended, the task force must provide the recommendations in the form of draft legislation. Task force recommendations require the approval of a majority of the appointed members;</w:t>
      </w:r>
    </w:p>
    <w:p>
      <w:pPr>
        <w:spacing w:before="0" w:after="0" w:line="408" w:lineRule="exact"/>
        <w:ind w:left="0" w:right="0" w:firstLine="576"/>
        <w:jc w:val="left"/>
      </w:pPr>
      <w:r>
        <w:rPr/>
        <w:t xml:space="preserve">(d) Ensure that the task force provides ample opportunity for input from interested stakeholders.</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 The department of health must cooperate with the task force and provide information and assistance at the request of the task force.</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provide recommendations, if any, to the appropriate legislative committees, as described under subsection (2)(c) of this section and consistent with RCW 43.01.036, by November 1, 2017.</w:t>
      </w:r>
    </w:p>
    <w:p>
      <w:pPr>
        <w:spacing w:before="0" w:after="0" w:line="408" w:lineRule="exact"/>
        <w:ind w:left="0" w:right="0" w:firstLine="576"/>
        <w:jc w:val="left"/>
      </w:pPr>
      <w:r>
        <w:rPr/>
        <w:t xml:space="preserve">(7) This section expires June 30, 2018."</w:t>
      </w:r>
    </w:p>
    <w:p>
      <w:pPr>
        <w:spacing w:before="0" w:after="0" w:line="408" w:lineRule="exact"/>
        <w:ind w:left="0" w:right="0" w:firstLine="576"/>
        <w:jc w:val="left"/>
      </w:pPr>
      <w:r>
        <w:rPr/>
        <w:t xml:space="preserve">On page 1, line 1 of the title, after "accounts;" strike the remainder of the title and insert "creating new sections; and providing an expiration date."</w:t>
      </w:r>
    </w:p>
    <w:p>
      <w:pPr>
        <w:spacing w:before="0" w:after="0" w:line="408" w:lineRule="exact"/>
        <w:ind w:left="0" w:right="0" w:firstLine="576"/>
        <w:jc w:val="left"/>
      </w:pPr>
      <w:r>
        <w:rPr>
          <w:u w:val="single"/>
        </w:rPr>
        <w:t xml:space="preserve">EFFECT:</w:t>
      </w:r>
      <w:r>
        <w:rPr/>
        <w:t xml:space="preserve"> Establishes a joint legislative task force on medical debt consisting of 9 total members, 4 of which are appointed from each major caucus in the House of Representatives and the Senate, the Department of Health, the Office of the Attorney General, and a representative from a medical provider, a community group, and a charity care provider. The task force must examine the size and causes of medical debt in Washington and develop recommendations by November 1,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9e5f3a2b9e40dc" /></Relationships>
</file>