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2eef3f3554ef7" /></Relationships>
</file>

<file path=word/document.xml><?xml version="1.0" encoding="utf-8"?>
<w:document xmlns:w="http://schemas.openxmlformats.org/wordprocessingml/2006/main">
  <w:body>
    <w:p>
      <w:r>
        <w:rPr>
          <w:b/>
        </w:rPr>
        <w:r>
          <w:rPr/>
          <w:t xml:space="preserve">5517.E</w:t>
        </w:r>
      </w:r>
      <w:r>
        <w:rPr>
          <w:b/>
        </w:rPr>
        <w:t xml:space="preserve"> </w:t>
        <w:t xml:space="preserve">AMS</w:t>
      </w:r>
      <w:r>
        <w:rPr>
          <w:b/>
        </w:rPr>
        <w:t xml:space="preserve"> </w:t>
        <w:r>
          <w:rPr/>
          <w:t xml:space="preserve">WILS</w:t>
        </w:r>
      </w:r>
      <w:r>
        <w:rPr>
          <w:b/>
        </w:rPr>
        <w:t xml:space="preserve"> </w:t>
        <w:r>
          <w:rPr/>
          <w:t xml:space="preserve">S2840.1</w:t>
        </w:r>
      </w:r>
      <w:r>
        <w:rPr>
          <w:b/>
        </w:rPr>
        <w:t xml:space="preserve"> - NOT FOR FLOOR USE</w:t>
      </w:r>
    </w:p>
    <w:p>
      <w:pPr>
        <w:ind w:left="0" w:right="0" w:firstLine="576"/>
      </w:pPr>
    </w:p>
    <w:p>
      <w:pPr>
        <w:spacing w:before="480" w:after="0" w:line="408" w:lineRule="exact"/>
      </w:pPr>
      <w:r>
        <w:rPr>
          <w:b/>
          <w:u w:val="single"/>
        </w:rPr>
        <w:t xml:space="preserve">ESB 5517</w:t>
      </w:r>
      <w:r>
        <w:t xml:space="preserve"> -</w:t>
      </w:r>
      <w:r>
        <w:t xml:space="preserve"> </w:t>
        <w:t xml:space="preserve">S AMD</w:t>
      </w:r>
      <w:r>
        <w:t xml:space="preserve"> </w:t>
      </w:r>
      <w:r>
        <w:rPr>
          <w:b/>
        </w:rPr>
        <w:t xml:space="preserve">289</w:t>
      </w:r>
    </w:p>
    <w:p>
      <w:pPr>
        <w:spacing w:before="0" w:after="0" w:line="408" w:lineRule="exact"/>
        <w:ind w:left="0" w:right="0" w:firstLine="576"/>
        <w:jc w:val="left"/>
      </w:pPr>
      <w:r>
        <w:rPr/>
        <w:t xml:space="preserve">By Senator Wilson</w:t>
      </w:r>
    </w:p>
    <w:p>
      <w:pPr>
        <w:jc w:val="right"/>
      </w:pPr>
      <w:r>
        <w:rPr>
          <w:b/>
        </w:rPr>
        <w:t xml:space="preserve">ADOPTED 06/13/2017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Any county located to the west of the crest of the Cascade mountains that has both a population of at least four hundred thousand and a border that touches another state, and any city in such county, may include development of freight rail dependent uses on land adjacent to a short line railroad in the transportation element required by RCW 36.70A.070. Such counties and cities may also modify development regulations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80" w:after="0" w:line="408" w:lineRule="exact"/>
      </w:pPr>
      <w:r>
        <w:rPr>
          <w:b/>
          <w:u w:val="single"/>
        </w:rPr>
        <w:t xml:space="preserve">ESB 5517</w:t>
      </w:r>
      <w:r>
        <w:t xml:space="preserve"> -</w:t>
      </w:r>
      <w:r>
        <w:t xml:space="preserve"> </w:t>
        <w:t xml:space="preserve">S AMD</w:t>
      </w:r>
      <w:r>
        <w:t xml:space="preserve"> </w:t>
      </w:r>
      <w:r>
        <w:rPr>
          <w:b/>
        </w:rPr>
        <w:t xml:space="preserve">289</w:t>
      </w:r>
    </w:p>
    <w:p>
      <w:pPr>
        <w:spacing w:before="0" w:after="0" w:line="408" w:lineRule="exact"/>
        <w:ind w:left="0" w:right="0" w:firstLine="576"/>
        <w:jc w:val="left"/>
      </w:pPr>
      <w:r>
        <w:rPr/>
        <w:t xml:space="preserve">By Senator Wilson</w:t>
      </w:r>
    </w:p>
    <w:p>
      <w:pPr>
        <w:jc w:val="right"/>
      </w:pPr>
      <w:r>
        <w:rPr>
          <w:b/>
        </w:rPr>
        <w:t xml:space="preserve">ADOPTED 06/13/2017</w:t>
      </w:r>
    </w:p>
    <w:p>
      <w:pPr>
        <w:spacing w:before="0" w:after="0" w:line="408" w:lineRule="exact"/>
        <w:ind w:left="0" w:right="0" w:firstLine="576"/>
        <w:jc w:val="left"/>
      </w:pPr>
      <w:r>
        <w:rPr/>
        <w:t xml:space="preserve">On page 1, line 2 of the title, after "regulations;" strike the remainder of the title and insert "amending RCW 36.70A.030, 36.70A.060, 36.70A.070, and 36.70A.108; and creating a new section."</w:t>
      </w:r>
    </w:p>
    <w:p>
      <w:pPr>
        <w:spacing w:before="0" w:after="0" w:line="408" w:lineRule="exact"/>
        <w:ind w:left="0" w:right="0" w:firstLine="576"/>
        <w:jc w:val="left"/>
      </w:pPr>
      <w:r>
        <w:rPr>
          <w:u w:val="single"/>
        </w:rPr>
        <w:t xml:space="preserve">EFFECT:</w:t>
      </w:r>
      <w:r>
        <w:rPr/>
        <w:t xml:space="preserve"> Removes railroad tracks and freight rail dependent use from the definitions of rural character and rural development.</w:t>
      </w:r>
    </w:p>
    <w:p>
      <w:pPr>
        <w:spacing w:before="0" w:after="0" w:line="408" w:lineRule="exact"/>
        <w:ind w:left="0" w:right="0" w:firstLine="576"/>
        <w:jc w:val="left"/>
      </w:pPr>
      <w:r>
        <w:rPr/>
        <w:t xml:space="preserve">Removes the authority for counties to provide for freight rail dependent uses in the rural element of their comprehensive plans.</w:t>
      </w:r>
    </w:p>
    <w:p>
      <w:pPr>
        <w:spacing w:before="0" w:after="0" w:line="408" w:lineRule="exact"/>
        <w:ind w:left="0" w:right="0" w:firstLine="576"/>
        <w:jc w:val="left"/>
      </w:pPr>
      <w:r>
        <w:rPr/>
        <w:t xml:space="preserve">Limits the counties, and the cities within those counties, that may adopt development regulations permitting development of resource lands adjacent to short line railroads. This authority is limited to those counties located west of the Cascade mountains that have a population of at least 400,000 and border another state.</w:t>
      </w:r>
    </w:p>
    <w:p>
      <w:pPr>
        <w:spacing w:before="0" w:after="0" w:line="408" w:lineRule="exact"/>
        <w:ind w:left="0" w:right="0" w:firstLine="576"/>
        <w:jc w:val="left"/>
      </w:pPr>
      <w:r>
        <w:rPr/>
        <w:t xml:space="preserve">Limits the counties, and the cities within those counties, that may include development of freight rail dependent uses on land adjacent to short line railroads in the transportation element of their comprehensive plans. This authority is limited to those counties located west of the Cascade mountains that have a population of at least 400,000 and border another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393fbc1f9474d" /></Relationships>
</file>