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632e729acc4c9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5781-S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KEIS</w:t>
        </w:r>
      </w:r>
      <w:r>
        <w:rPr>
          <w:b/>
        </w:rPr>
        <w:t xml:space="preserve"> </w:t>
        <w:r>
          <w:rPr/>
          <w:t xml:space="preserve">S2020.1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5781</w:t>
      </w:r>
      <w:r>
        <w:t xml:space="preserve"> -</w:t>
      </w:r>
      <w:r>
        <w:t xml:space="preserve"> </w:t>
        <w:t xml:space="preserve">S AMD TO S AMD (S-2005.2/17)</w:t>
      </w:r>
      <w:r>
        <w:t xml:space="preserve"> </w:t>
      </w:r>
      <w:r>
        <w:rPr>
          <w:b/>
        </w:rPr>
        <w:t xml:space="preserve">91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Keiser</w:t>
      </w:r>
    </w:p>
    <w:p>
      <w:pPr>
        <w:jc w:val="right"/>
      </w:pPr>
      <w:r>
        <w:rPr>
          <w:b/>
        </w:rPr>
        <w:t xml:space="preserve">ADOPTED 03/06/2017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15 of the amendment, after "organization" insert ", which has annual gross income of less than two hundred fifty thousand dollars,"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Limits the use of the banquet permit to not-for profit societies and charitable organizations with less than $250,000 in annual revenue.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b1d20ec892413f" /></Relationships>
</file>