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358d9e0ac46f9" /></Relationships>
</file>

<file path=word/document.xml><?xml version="1.0" encoding="utf-8"?>
<w:document xmlns:w="http://schemas.openxmlformats.org/wordprocessingml/2006/main">
  <w:body>
    <w:p>
      <w:r>
        <w:rPr>
          <w:b/>
        </w:rPr>
        <w:r>
          <w:rPr/>
          <w:t xml:space="preserve">5890-S.E</w:t>
        </w:r>
      </w:r>
      <w:r>
        <w:rPr>
          <w:b/>
        </w:rPr>
        <w:t xml:space="preserve"> </w:t>
        <w:t xml:space="preserve">AMS</w:t>
      </w:r>
      <w:r>
        <w:rPr>
          <w:b/>
        </w:rPr>
        <w:t xml:space="preserve"> </w:t>
        <w:r>
          <w:rPr/>
          <w:t xml:space="preserve">OBAN</w:t>
        </w:r>
      </w:r>
      <w:r>
        <w:rPr>
          <w:b/>
        </w:rPr>
        <w:t xml:space="preserve"> </w:t>
        <w:r>
          <w:rPr/>
          <w:t xml:space="preserve">S2838.5</w:t>
        </w:r>
      </w:r>
      <w:r>
        <w:rPr>
          <w:b/>
        </w:rPr>
        <w:t xml:space="preserve"> - NOT FOR FLOOR USE</w:t>
      </w:r>
    </w:p>
    <w:p>
      <w:pPr>
        <w:ind w:left="0" w:right="0" w:firstLine="576"/>
      </w:pPr>
    </w:p>
    <w:p>
      <w:pPr>
        <w:spacing w:before="480" w:after="0" w:line="408" w:lineRule="exact"/>
      </w:pPr>
      <w:r>
        <w:rPr>
          <w:b/>
          <w:u w:val="single"/>
        </w:rPr>
        <w:t xml:space="preserve">ESSB 5890</w:t>
      </w:r>
      <w:r>
        <w:t xml:space="preserve"> -</w:t>
      </w:r>
      <w:r>
        <w:t xml:space="preserve"> </w:t>
        <w:t xml:space="preserve">S AMD</w:t>
      </w:r>
      <w:r>
        <w:t xml:space="preserve"> </w:t>
      </w:r>
      <w:r>
        <w:rPr>
          <w:b/>
        </w:rPr>
        <w:t xml:space="preserve">300</w:t>
      </w:r>
    </w:p>
    <w:p>
      <w:pPr>
        <w:spacing w:before="0" w:after="0" w:line="408" w:lineRule="exact"/>
        <w:ind w:left="0" w:right="0" w:firstLine="576"/>
        <w:jc w:val="left"/>
      </w:pPr>
      <w:r>
        <w:rPr/>
        <w:t xml:space="preserve">By Senator O'Ban</w:t>
      </w:r>
    </w:p>
    <w:p>
      <w:pPr>
        <w:jc w:val="right"/>
      </w:pPr>
      <w:r>
        <w:rPr>
          <w:b/>
        </w:rPr>
        <w:t xml:space="preserve">ADOPTED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short-term care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care described in this subsection. These individuals shall be hired by the nonprofit community-based organization and shall have the appropriate training, background checks, and qualifications as determined by the department. Short-term care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care provided in this subsection exceed the funding available, the nonprofit community-based organization shall have discretion to determine the assignment of case aides. The nonprofit community-based organization shall report all short-term care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short-term care described in this subsection. The evaluation will, to the maximum extent possible, assess the impact of the short-term care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department of social and health services,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department of social and health services shall submit the final plan, which shall include estimated costs to implement these support services and recommendations for implementing these support services in a phased-in manner to the appropriate committees and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an expedited foster licensing process.</w:t>
      </w:r>
    </w:p>
    <w:p>
      <w:pPr>
        <w:spacing w:before="0" w:after="0" w:line="408" w:lineRule="exact"/>
        <w:ind w:left="0" w:right="0" w:firstLine="576"/>
        <w:jc w:val="left"/>
      </w:pPr>
      <w:r>
        <w:rPr/>
        <w:t xml:space="preserve">(2) The expedited foster licensing process described in this section shall be available to individuals who:</w:t>
      </w:r>
    </w:p>
    <w:p>
      <w:pPr>
        <w:spacing w:before="0" w:after="0" w:line="408" w:lineRule="exact"/>
        <w:ind w:left="0" w:right="0" w:firstLine="576"/>
        <w:jc w:val="left"/>
      </w:pPr>
      <w:r>
        <w:rPr/>
        <w:t xml:space="preserve">(a) Were licensed within the last five years;</w:t>
      </w:r>
    </w:p>
    <w:p>
      <w:pPr>
        <w:spacing w:before="0" w:after="0" w:line="408" w:lineRule="exact"/>
        <w:ind w:left="0" w:right="0" w:firstLine="576"/>
        <w:jc w:val="left"/>
      </w:pPr>
      <w:r>
        <w:rPr/>
        <w:t xml:space="preserve">(b) Were not the subject of an adverse licensing action or a voluntary relinquishment;</w:t>
      </w:r>
    </w:p>
    <w:p>
      <w:pPr>
        <w:spacing w:before="0" w:after="0" w:line="408" w:lineRule="exact"/>
        <w:ind w:left="0" w:right="0" w:firstLine="576"/>
        <w:jc w:val="left"/>
      </w:pPr>
      <w:r>
        <w:rPr/>
        <w:t xml:space="preserve">(c) Seek licensure for the same residence for which he or she was previously licensed provided that any changes to family constellation since the previous license is limited to individuals leaving the family constellation; and</w:t>
      </w:r>
    </w:p>
    <w:p>
      <w:pPr>
        <w:spacing w:before="0" w:after="0" w:line="408" w:lineRule="exact"/>
        <w:ind w:left="0" w:right="0" w:firstLine="576"/>
        <w:jc w:val="left"/>
      </w:pPr>
      <w:r>
        <w:rPr/>
        <w:t xml:space="preserve">(d) Apply to the same agency for which he or she was previously licensed, with the understanding that the agency must be agreeable to supervise the home.</w:t>
      </w:r>
    </w:p>
    <w:p>
      <w:pPr>
        <w:spacing w:before="0" w:after="0" w:line="408" w:lineRule="exact"/>
        <w:ind w:left="0" w:right="0" w:firstLine="576"/>
        <w:jc w:val="left"/>
      </w:pPr>
      <w:r>
        <w:rPr/>
        <w:t xml:space="preserve">(3) The department shall make every effort to ensure that individuals qualifying for and seeking an expedited license are able to become licensed within forty days of the department receiving his or her application.</w:t>
      </w:r>
    </w:p>
    <w:p>
      <w:pPr>
        <w:spacing w:before="0" w:after="0" w:line="408" w:lineRule="exact"/>
        <w:ind w:left="0" w:right="0" w:firstLine="576"/>
        <w:jc w:val="left"/>
      </w:pPr>
      <w:r>
        <w:rPr/>
        <w:t xml:space="preserve">(4) The department shall only issue a foster license pursuant to this section after receiving a completed fingerprint-based background check, and may delay issuance of an expedited license solely based on awaiting the results of a background check.</w:t>
      </w:r>
    </w:p>
    <w:p>
      <w:pPr>
        <w:spacing w:before="0" w:after="0" w:line="408" w:lineRule="exact"/>
        <w:ind w:left="0" w:right="0" w:firstLine="576"/>
        <w:jc w:val="left"/>
      </w:pPr>
      <w:r>
        <w:rPr/>
        <w:t xml:space="preserve">(5) The department may issue a provisional expedited license pursuant to this section before completing a home study, but shall complete the home study as soon as possible after issuing a provisional expedited license.</w:t>
      </w:r>
    </w:p>
    <w:p>
      <w:pPr>
        <w:spacing w:before="0" w:after="0" w:line="408" w:lineRule="exact"/>
        <w:ind w:left="0" w:right="0" w:firstLine="576"/>
        <w:jc w:val="left"/>
      </w:pPr>
      <w:r>
        <w:rPr/>
        <w:t xml:space="preserve">(6) The department and its officers, agents, employees, and volunteers are not liable for injuries caused by the expedited foster licensing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w:t>
      </w:r>
      <w:r>
        <w:rPr>
          <w:u w:val="single"/>
        </w:rPr>
        <w:t xml:space="preserve">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r>
        <w:rPr/>
        <w:t xml:space="preserv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early learning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Within the department's appropriations, the department shall ensure that a case review panel reviews cases involving dependent children where permanency is not achieved for children within fifteen months after being placed in out-of-home care. </w:t>
      </w:r>
    </w:p>
    <w:p>
      <w:pPr>
        <w:spacing w:before="0" w:after="0" w:line="408" w:lineRule="exact"/>
        <w:ind w:left="0" w:right="0" w:firstLine="576"/>
        <w:jc w:val="left"/>
      </w:pPr>
      <w:r>
        <w:rPr/>
        <w:t xml:space="preserve">(2) The case review panel shall be comprised of, at a minimum, a lead social services specialist and either the office of the family and children's ombuds or another external organization with child welfare experience.</w:t>
      </w:r>
    </w:p>
    <w:p>
      <w:pPr>
        <w:spacing w:before="0" w:after="0" w:line="408" w:lineRule="exact"/>
        <w:ind w:left="0" w:right="0" w:firstLine="576"/>
        <w:jc w:val="left"/>
      </w:pPr>
      <w:r>
        <w:rPr/>
        <w:t xml:space="preserve">(3) Beginning September 1, 2018, the panel shall review all cases where, after the effective date of this section, a dependent child reaches fifteen months in out-of-home placement and has not achieved permanency. This review must occur by the child's sixteenth month in out-of-home placement. At each case review, the panel must develop a plan of action, including recommended next steps for the department to take, to achieve permanency.</w:t>
      </w:r>
    </w:p>
    <w:p>
      <w:pPr>
        <w:spacing w:before="0" w:after="0" w:line="408" w:lineRule="exact"/>
        <w:ind w:left="0" w:right="0" w:firstLine="576"/>
        <w:jc w:val="left"/>
      </w:pPr>
      <w:r>
        <w:rPr/>
        <w:t xml:space="preserve">(4) The department is encouraged to convene the case review panel regularly to review other cases involving dependent children as needed to ensure stability and permanency is achieved and length of stay for children in out-of-home placement is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u w:val="single"/>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the effective date of this section.</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(d) improving and increasing placement options for youth in out-of-home care; and (e) preventing out-of-home placement.</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are each repealed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 are each repealed</w:t>
      </w:r>
      <w:r>
        <w:rPr/>
        <w:t xml:space="preserv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415</w:t>
      </w:r>
      <w:r>
        <w:rPr/>
        <w:t xml:space="preserve"> (Child and family reinvestment account and methodology for calculating savings</w:t>
      </w:r>
      <w:r>
        <w:rPr>
          <w:rFonts w:ascii="Times New Roman" w:hAnsi="Times New Roman"/>
        </w:rPr>
        <w:t xml:space="preserve">—</w:t>
      </w:r>
      <w:r>
        <w:rPr/>
        <w:t xml:space="preserve">Termination) and 2012 c 204 s 4;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416</w:t>
      </w:r>
      <w:r>
        <w:rPr/>
        <w:t xml:space="preserve"> (Child and family reinvestment account and methodology for calculating savings</w:t>
      </w:r>
      <w:r>
        <w:rPr>
          <w:rFonts w:ascii="Times New Roman" w:hAnsi="Times New Roman"/>
        </w:rPr>
        <w:t xml:space="preserve">—</w:t>
      </w:r>
      <w:r>
        <w:rPr/>
        <w:t xml:space="preserve">Repeal) and 2013 c 332 s 13 &amp; 2012 c 204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14 of this act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P.L. 95-608 Indian Child Welfare Act of 1978 or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of P.L. 95-608 Indian Child Welfare Act of 1978 and federal requirements that are a necessary condition to the receipt of federal funds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t xml:space="preserve"> </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t xml:space="preserve"> </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with technical consultation from the caseload forecast council and associated technical work groups, shall review the forecasts of licensed foster care to ensure that all youth in licensed foster care are included in the caseload forecast and that maintenance level costs associated with these youth, not including costs associated with behavioral rehabilitation services, are accurately calculated.</w:t>
      </w:r>
    </w:p>
    <w:p>
      <w:pPr>
        <w:spacing w:before="0" w:after="0" w:line="408" w:lineRule="exact"/>
        <w:ind w:left="0" w:right="0" w:firstLine="576"/>
        <w:jc w:val="left"/>
      </w:pPr>
      <w:r>
        <w:rPr/>
        <w:t xml:space="preserve">(2) The department of social and health services shall submit a report detailing their findings and any recommendations associated with this review to the governor and the appropriate committees of the legislature no later than December 1, 2017.</w:t>
      </w:r>
    </w:p>
    <w:p>
      <w:pPr>
        <w:spacing w:before="0" w:after="0" w:line="408" w:lineRule="exact"/>
        <w:ind w:left="0" w:right="0" w:firstLine="576"/>
        <w:jc w:val="left"/>
      </w:pPr>
      <w:r>
        <w:rPr/>
        <w:t xml:space="preserve">(3) This section expires January 1, 2018."</w:t>
      </w:r>
    </w:p>
    <w:p>
      <w:pPr>
        <w:spacing w:before="480" w:after="0" w:line="408" w:lineRule="exact"/>
      </w:pPr>
      <w:r>
        <w:rPr>
          <w:b/>
          <w:u w:val="single"/>
        </w:rPr>
        <w:t xml:space="preserve">ESSB 5890</w:t>
      </w:r>
      <w:r>
        <w:t xml:space="preserve"> -</w:t>
      </w:r>
      <w:r>
        <w:t xml:space="preserve"> </w:t>
        <w:t xml:space="preserve">S AMD</w:t>
      </w:r>
      <w:r>
        <w:t xml:space="preserve"> </w:t>
      </w:r>
      <w:r>
        <w:rPr>
          <w:b/>
        </w:rPr>
        <w:t xml:space="preserve">300</w:t>
      </w:r>
    </w:p>
    <w:p>
      <w:pPr>
        <w:spacing w:before="0" w:after="0" w:line="408" w:lineRule="exact"/>
        <w:ind w:left="0" w:right="0" w:firstLine="576"/>
        <w:jc w:val="left"/>
      </w:pPr>
      <w:r>
        <w:rPr/>
        <w:t xml:space="preserve">By Senator O'Ban</w:t>
      </w:r>
    </w:p>
    <w:p>
      <w:pPr>
        <w:jc w:val="right"/>
      </w:pPr>
      <w:r>
        <w:rPr>
          <w:b/>
        </w:rPr>
        <w:t xml:space="preserve">ADOPTED 06/29/2017</w:t>
      </w:r>
    </w:p>
    <w:p>
      <w:pPr>
        <w:spacing w:before="0" w:after="0" w:line="408" w:lineRule="exact"/>
        <w:ind w:left="0" w:right="0" w:firstLine="576"/>
        <w:jc w:val="left"/>
      </w:pPr>
      <w:r>
        <w:rPr/>
        <w:t xml:space="preserve">On page 1, line 2 of the title, after "support;" strike the remainder of the title and insert "amending RCW 74.13.270, 74.13.031, 74.13A.025, 74.13A.030, 74.13A.047, 28B.118.010, and 26.44.030; reenacting and amending RCW 43.43.832; adding a new section to chapter 74.15 RCW; adding a new section to chapter 13.34 RCW; adding a new section to chapter 41.04 RCW; adding a new section to chapter 43.06 RCW; adding a new section to chapter 74.13 RCW; creating new sections; repealing RCW 74.13.107, 74.12.037, 43.131.415, and 43.131.416;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(1) Specifies that case aides shall provide short-term care for foster parents instead of respite care.</w:t>
      </w:r>
    </w:p>
    <w:p>
      <w:pPr>
        <w:spacing w:before="0" w:after="0" w:line="408" w:lineRule="exact"/>
        <w:ind w:left="0" w:right="0" w:firstLine="576"/>
        <w:jc w:val="left"/>
      </w:pPr>
      <w:r>
        <w:rPr/>
        <w:t xml:space="preserve">(2) Replaces the provisions regarding probationary foster licenses with the creation of an expedited foster licensure process for individuals who were licensed within the last five years, did not receive any adverse licensing actions, did not have a voluntary relinquishment of their license, and seek licensure for the same residence for which he or she was previously licensed provided that any changes to family constellation since the previous license are limited to individuals leaving the family constellation. DSHS must ensure that individuals seeking expedited licensure are able to complete the licensure process within 40 days.</w:t>
      </w:r>
    </w:p>
    <w:p>
      <w:pPr>
        <w:spacing w:before="0" w:after="0" w:line="408" w:lineRule="exact"/>
        <w:ind w:left="0" w:right="0" w:firstLine="576"/>
        <w:jc w:val="left"/>
      </w:pPr>
      <w:r>
        <w:rPr/>
        <w:t xml:space="preserve">(3) Requires DSHS to obtain a criminal background check for persons aged 16 and older who reside in a foster home and allows DSHS to obtain a criminal background check for younger persons if it is warranted to ensure the safety of foster youth.</w:t>
      </w:r>
    </w:p>
    <w:p>
      <w:pPr>
        <w:spacing w:before="0" w:after="0" w:line="408" w:lineRule="exact"/>
        <w:ind w:left="0" w:right="0" w:firstLine="576"/>
        <w:jc w:val="left"/>
      </w:pPr>
      <w:r>
        <w:rPr/>
        <w:t xml:space="preserve">(4) Modifies the case review requirement for DSHS to require that the department convene case review panels beginning September 1, 2018, for cases involving dependent children where permanency is not achieved for children within fifteen months after being placed in out-of-home care. These case review panels must include a lead social service specialist and either the Office of the Family and Children's Ombuds or another external organization with child welfare experience.</w:t>
      </w:r>
    </w:p>
    <w:p>
      <w:pPr>
        <w:spacing w:before="0" w:after="0" w:line="408" w:lineRule="exact"/>
        <w:ind w:left="0" w:right="0" w:firstLine="576"/>
        <w:jc w:val="left"/>
      </w:pPr>
      <w:r>
        <w:rPr/>
        <w:t xml:space="preserve">(5) Provides DSHS the authority to purchase legal representation for parents of children who are at risk of being, or who are found dependent, to establish or modify a parenting plan when it is necessary for the child's safety, permanence, or well-being.</w:t>
      </w:r>
    </w:p>
    <w:p>
      <w:pPr>
        <w:spacing w:before="0" w:after="0" w:line="408" w:lineRule="exact"/>
        <w:ind w:left="0" w:right="0" w:firstLine="576"/>
        <w:jc w:val="left"/>
      </w:pPr>
      <w:r>
        <w:rPr/>
        <w:t xml:space="preserve">(6) Modifies the restructuring of adoption support maintenance payments from four age groups to three age groups; under age 5 capped at 80 percent of foster care maintenance payments, age 5 through 9 capped at 90 percent, and age 10 through 18 capped at 95 percent.</w:t>
      </w:r>
    </w:p>
    <w:p>
      <w:pPr>
        <w:spacing w:before="0" w:after="0" w:line="408" w:lineRule="exact"/>
        <w:ind w:left="0" w:right="0" w:firstLine="576"/>
        <w:jc w:val="left"/>
      </w:pPr>
      <w:r>
        <w:rPr/>
        <w:t xml:space="preserve">(7) Delays the repeal of means testing for caregivers receiving child-only temporary assistance for needy families to July 1, 2018.</w:t>
      </w:r>
    </w:p>
    <w:p>
      <w:pPr>
        <w:spacing w:before="0" w:after="0" w:line="408" w:lineRule="exact"/>
        <w:ind w:left="0" w:right="0" w:firstLine="576"/>
        <w:jc w:val="left"/>
      </w:pPr>
      <w:r>
        <w:rPr/>
        <w:t xml:space="preserve">(8) Directs DSHS, with technical consultation from the Caseload Forecast Council and associated technical work groups, to review the forecasts of licensed foster care to ensure that all youth are included in the forecast and that maintenance level costs, not including costs associated with behavioral rehabilitation services, are accurately calculated and to report their findings and recommendations to the Governor and the appropriate committees of the Legislature no later than December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c7cb5ba2d4918" /></Relationships>
</file>