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2d4672bed461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S5033.1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NOT 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</w:t>
      </w:r>
      <w:r>
        <w:rPr>
          <w:strike/>
        </w:rPr>
        <w:t xml:space="preserve">(d)</w:t>
      </w:r>
      <w:r>
        <w:t>))</w:t>
      </w:r>
      <w:r>
        <w:rPr/>
        <w:t xml:space="preserve">" insert "</w:t>
      </w:r>
      <w:r>
        <w:rPr>
          <w:u w:val="single"/>
        </w:rPr>
        <w:t xml:space="preserve">(a) an alleged offender is accused of an offense that is defined as a serious violent offense or sex offense under RCW 9.94A.030; or 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prosecutor to file an offense in juvenile court within the jurisdiction of the court which is supported by probable cause and which is a serious violent offense or sex offense as defined by RCW 9.94A.030.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e3fa74bbb4dfa" /></Relationships>
</file>