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2ea6829044d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S6065.1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17, strike all material through line 18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This section does not apply to ((</w:t>
      </w:r>
      <w:r>
        <w:rPr>
          <w:strike/>
        </w:rPr>
        <w:t xml:space="preserve">sales</w:t>
      </w:r>
      <w:r>
        <w:rPr/>
        <w:t xml:space="preserve"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sale of pistols or semiautomatic rifles</w:t>
      </w:r>
      <w:r>
        <w:rPr/>
        <w:t xml:space="preserve"> to licensed dealers for resale or to the sale of antique firearms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sale of semiautomatic rifles to females over the age of eighteen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25, strike "</w:t>
      </w:r>
      <w:r>
        <w:rPr>
          <w:u w:val="single"/>
        </w:rPr>
        <w:t xml:space="preserve">person</w:t>
      </w:r>
      <w:r>
        <w:rPr/>
        <w:t xml:space="preserve">" and insert "</w:t>
      </w:r>
      <w:r>
        <w:rPr>
          <w:u w:val="single"/>
        </w:rPr>
        <w:t xml:space="preserve">male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22, strike all material through line 24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(1)(a) A person under twenty-one years of age may not purchase a pistol pursuant to Title 18 U.S.C. Sec. 922(b)(1);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male under twenty-one years of age may not purchase a semiautomatic rifle pursuant to RCW 9.41.113.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females from the requirement to obtain a state background check in order to purchase a semiautomatic rifle and the prohibition against purchase for persons under age twenty-one.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d196e3ed542d1" /></Relationships>
</file>