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99896261d4a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S6067.1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31, strike all of sections 14 through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title, after "funds;" strike the remainder of the title and insert "amending RCW 28A.320.125, 36.28A.080, and 28A.300.273; adding new sections to chapter 36.28A RCW; adding a new section to chapter 28A.630 RCW; adding new sections to chapter 28A.300 RCW; adding a new section to chapter 28A.320 RCW; adding a new section to chapter 28A.150 RCW; adding a new section to chapter 28A.310 RCW; creating a new section; repealing RCW 28A.310.505; prescribing penalties; providing an expiration date;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of Part VI addressing semiautomatic rifles, including provisions requiring a state background check for the purchase of a semiautomatic rifle and prohibiting purchase under the age of 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b12d115d74067" /></Relationships>
</file>