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4ac7658ca458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 MacEwen)</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academic and individual achievement; amending RCW 28A.155.045, 28A.155.170, 28A.230.090, 28A.230.122, 28A.230.125, 28A.655.070, 28A.180.100, 28A.195.010, 28A.200.010, 28A.305.130, 28A.320.208, 28A.415.360, and 28A.600.310; adding a new section to chapter 28A.655 RCW; creating a new section; repealing RCW 28A.600.405, 28A.655.061, 28A.655.063, 28A.655.065, 28A.655.066, and 28A.655.068;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multiple options,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for high school graduation purposes, the student's high school transcript shall note whether that student </w:t>
      </w:r>
      <w:r>
        <w:t>((</w:t>
      </w:r>
      <w:r>
        <w:rPr>
          <w:strike/>
        </w:rPr>
        <w:t xml:space="preserve">has earned a certificate of individual achievement</w:t>
      </w:r>
      <w:r>
        <w:t>))</w:t>
      </w:r>
      <w:r>
        <w:rPr/>
        <w:t xml:space="preserve"> </w:t>
      </w:r>
      <w:r>
        <w:rPr>
          <w:u w:val="single"/>
        </w:rPr>
        <w:t xml:space="preserve">was assessed with alternative assessments</w:t>
      </w:r>
      <w:r>
        <w:rPr/>
        <w:t xml:space="preserve">.</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w:t>
      </w:r>
      <w:r>
        <w:t>((</w:t>
      </w:r>
      <w:r>
        <w:rPr>
          <w:strike/>
        </w:rPr>
        <w:t xml:space="preserve">,</w:t>
      </w:r>
      <w:r>
        <w:t>))</w:t>
      </w:r>
      <w:r>
        <w:rPr/>
        <w:t xml:space="preserve"> </w:t>
      </w:r>
      <w:r>
        <w:rPr>
          <w:u w:val="single"/>
        </w:rPr>
        <w:t xml:space="preserve">or</w:t>
      </w:r>
      <w:r>
        <w:rPr/>
        <w:t xml:space="preserve"> master the essential academic learning requirements,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(1) The student's results on the state assessment;</w:t>
      </w:r>
    </w:p>
    <w:p>
      <w:pPr>
        <w:spacing w:before="0" w:after="0" w:line="408" w:lineRule="exact"/>
        <w:ind w:left="0" w:right="0" w:firstLine="576"/>
        <w:jc w:val="left"/>
      </w:pPr>
      <w:r>
        <w:rPr/>
        <w:t xml:space="preserve">(2) If the student is in the transitional bilingual instruction program, the score on his or her Washington language proficiency test II;</w:t>
      </w:r>
    </w:p>
    <w:p>
      <w:pPr>
        <w:spacing w:before="0" w:after="0" w:line="408" w:lineRule="exact"/>
        <w:ind w:left="0" w:right="0" w:firstLine="576"/>
        <w:jc w:val="left"/>
      </w:pPr>
      <w:r>
        <w:rPr/>
        <w:t xml:space="preserve">(3) Any credit deficiencies;</w:t>
      </w:r>
    </w:p>
    <w:p>
      <w:pPr>
        <w:spacing w:before="0" w:after="0" w:line="408" w:lineRule="exact"/>
        <w:ind w:left="0" w:right="0" w:firstLine="576"/>
        <w:jc w:val="left"/>
      </w:pPr>
      <w:r>
        <w:rPr/>
        <w:t xml:space="preserve">(4) The student's attendance rates over the previous two years;</w:t>
      </w:r>
    </w:p>
    <w:p>
      <w:pPr>
        <w:spacing w:before="0" w:after="0" w:line="408" w:lineRule="exact"/>
        <w:ind w:left="0" w:right="0" w:firstLine="576"/>
        <w:jc w:val="left"/>
      </w:pPr>
      <w:r>
        <w:rPr/>
        <w:t xml:space="preserve">(5) The student's progress toward meeting state and local graduation requirements;</w:t>
      </w:r>
    </w:p>
    <w:p>
      <w:pPr>
        <w:spacing w:before="0" w:after="0" w:line="408" w:lineRule="exact"/>
        <w:ind w:left="0" w:right="0" w:firstLine="576"/>
        <w:jc w:val="left"/>
      </w:pPr>
      <w:r>
        <w:rPr/>
        <w:t xml:space="preserve">(6)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(7)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(8)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(9)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068</w:t>
      </w:r>
      <w:r>
        <w:rPr/>
        <w:t xml:space="preserve"> (Statewide high school assessment in science) and 2013 2nd sp.s. c 22 s 4 &amp; 2011 1st sp.s. c 22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beginning with the graduating class of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d1c2a51c7bf4d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3297a01634ddb" /><Relationship Type="http://schemas.openxmlformats.org/officeDocument/2006/relationships/footer" Target="/word/footer.xml" Id="Rcd1c2a51c7bf4dbb" /></Relationships>
</file>