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61113c034840ec" /></Relationships>
</file>

<file path=word/document.xml><?xml version="1.0" encoding="utf-8"?>
<w:document xmlns:w="http://schemas.openxmlformats.org/wordprocessingml/2006/main">
  <w:body>
    <w:p>
      <w:r>
        <w:t>H-0557.1</w:t>
      </w:r>
    </w:p>
    <w:p>
      <w:pPr>
        <w:jc w:val="center"/>
      </w:pPr>
      <w:r>
        <w:t>_______________________________________________</w:t>
      </w:r>
    </w:p>
    <w:p/>
    <w:p>
      <w:pPr>
        <w:jc w:val="center"/>
      </w:pPr>
      <w:r>
        <w:rPr>
          <w:b/>
        </w:rPr>
        <w:t>HOUSE BILL 1126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Condotta, Sawyer, and Vick</w:t>
      </w:r>
    </w:p>
    <w:p/>
    <w:p>
      <w:r>
        <w:rPr>
          <w:t xml:space="preserve">Read first time 01/11/17.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deadline for the use and implementation of a marijuana retail license by a licensee; and amending RCW 69.50.325.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and to produce marijuana plants for sale to cooperatives as described under RCW 69.51A.250, regulated by the state liquor and cannabis board and subject to annual renewal.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w:t>
      </w:r>
      <w:r>
        <w:rPr>
          <w:u w:val="single"/>
        </w:rPr>
        <w:t xml:space="preserve">(a)</w:t>
      </w:r>
      <w:r>
        <w:rPr/>
        <w:t xml:space="preserve">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u w:val="single"/>
        </w:rPr>
        <w:t xml:space="preserve">(b)(i) Except as otherwise provided in (b)(ii) of this subsection, a marijuana retail licensee forfeits a license issued under this section if the licensee fails to establish a retail business that is fully operational and open to the public within two hundred seventy days from the date of the initial issuance of the license by the state liquor and cannabis board. Upon such forfeiture, the licensee loses all rights under the license and is prohibited from operating a marijuana retail business as authorized under this section.</w:t>
      </w:r>
    </w:p>
    <w:p>
      <w:pPr>
        <w:spacing w:before="0" w:after="0" w:line="408" w:lineRule="exact"/>
        <w:ind w:left="0" w:right="0" w:firstLine="576"/>
        <w:jc w:val="left"/>
      </w:pPr>
      <w:r>
        <w:rPr>
          <w:u w:val="single"/>
        </w:rPr>
        <w:t xml:space="preserve">(ii) The state liquor and cannabis board may authorize one extension of the license forfeiture deadline established in this subsection (3)(b) up to a maximum of one hundred eighty days following the expiration of the original deadline. To request an extension, a licensee must file a license extension application with the state liquor and cannabis board in accordance with rules established by the state liquor and cannabis board.</w:t>
      </w:r>
    </w:p>
    <w:p>
      <w:pPr>
        <w:spacing w:before="0" w:after="0" w:line="408" w:lineRule="exact"/>
        <w:ind w:left="0" w:right="0" w:firstLine="576"/>
        <w:jc w:val="left"/>
      </w:pPr>
      <w:r>
        <w:rPr>
          <w:u w:val="single"/>
        </w:rPr>
        <w:t xml:space="preserve">(iii) The state liquor and cannabis board is granted rule-making authority regarding the license forfeiture process, the establishment of administrative procedures for consideration of license extension applications, and the criteria that must be met for licensees to qualify for an extension of the license.</w:t>
      </w:r>
    </w:p>
    <w:p/>
    <w:p>
      <w:pPr>
        <w:jc w:val="center"/>
      </w:pPr>
      <w:r>
        <w:rPr>
          <w:b/>
        </w:rPr>
        <w:t>--- END ---</w:t>
      </w:r>
    </w:p>
    <w:sectPr>
      <w:pgNumType w:start="1"/>
      <w:footerReference xmlns:r="http://schemas.openxmlformats.org/officeDocument/2006/relationships" r:id="R02e5fab794894b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cb223f7a5844f5" /><Relationship Type="http://schemas.openxmlformats.org/officeDocument/2006/relationships/footer" Target="/word/footer.xml" Id="R02e5fab794894b97" /></Relationships>
</file>