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1750ba8744b79" /></Relationships>
</file>

<file path=word/document.xml><?xml version="1.0" encoding="utf-8"?>
<w:document xmlns:w="http://schemas.openxmlformats.org/wordprocessingml/2006/main">
  <w:body>
    <w:p>
      <w:r>
        <w:t>H-1835.1</w:t>
      </w:r>
    </w:p>
    <w:p>
      <w:pPr>
        <w:jc w:val="center"/>
      </w:pPr>
      <w:r>
        <w:t>_______________________________________________</w:t>
      </w:r>
    </w:p>
    <w:p/>
    <w:p>
      <w:pPr>
        <w:jc w:val="center"/>
      </w:pPr>
      <w:r>
        <w:rPr>
          <w:b/>
        </w:rPr>
        <w:t>SUBSTITUTE HOUSE BILL 1136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Dye, Blake, Haler, Shea, Taylor, Farrell, Dent, Nealey, Manweller, Short, Muri, Schmick, Ormsby, Fey, Young, and Buys)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short-line railroads that haul nonfuel oils from oil spill contingency planning requirements; and amending RCW 90.56.210.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w:t>
      </w:r>
      <w:r>
        <w:rPr>
          <w:u w:val="single"/>
        </w:rPr>
        <w:t xml:space="preserve">(a)</w:t>
      </w:r>
      <w:r>
        <w:rPr/>
        <w:t xml:space="preserve"> The department by rule shall determine the contingency plan requirements for railroads transporting oil in bulk.</w:t>
      </w:r>
    </w:p>
    <w:p>
      <w:pPr>
        <w:spacing w:before="0" w:after="0" w:line="408" w:lineRule="exact"/>
        <w:ind w:left="0" w:right="0" w:firstLine="576"/>
        <w:jc w:val="left"/>
      </w:pPr>
      <w:r>
        <w:rPr>
          <w:u w:val="single"/>
        </w:rPr>
        <w:t xml:space="preserve">(b) Rules adopted under this subsection may not require the following to be included as components of the contingency plans of class III railroads, as defined by the United States surface transportation board as of the effective date of this section, transporting oil in bulk that is not crude oil nor a refined petroleum product used for fuel:</w:t>
      </w:r>
    </w:p>
    <w:p>
      <w:pPr>
        <w:spacing w:before="0" w:after="0" w:line="408" w:lineRule="exact"/>
        <w:ind w:left="0" w:right="0" w:firstLine="576"/>
        <w:jc w:val="left"/>
      </w:pPr>
      <w:r>
        <w:rPr>
          <w:u w:val="single"/>
        </w:rPr>
        <w:t xml:space="preserve">(i) Contracted access to oil spill response equipment; or</w:t>
      </w:r>
    </w:p>
    <w:p>
      <w:pPr>
        <w:spacing w:before="0" w:after="0" w:line="408" w:lineRule="exact"/>
        <w:ind w:left="0" w:right="0" w:firstLine="576"/>
        <w:jc w:val="left"/>
      </w:pPr>
      <w:r>
        <w:rPr>
          <w:u w:val="single"/>
        </w:rPr>
        <w:t xml:space="preserve">(ii) The annual deployment of oil spill response equipment or a worst case scenario tabletop drill to test the contingency plans.</w:t>
      </w:r>
    </w:p>
    <w:p>
      <w:pPr>
        <w:spacing w:before="0" w:after="0" w:line="408" w:lineRule="exact"/>
        <w:ind w:left="0" w:right="0" w:firstLine="576"/>
        <w:jc w:val="left"/>
      </w:pPr>
      <w:r>
        <w:rPr>
          <w:u w:val="single"/>
        </w:rPr>
        <w:t xml:space="preserve">(c)</w:t>
      </w:r>
      <w:r>
        <w:rPr/>
        <w:t xml:space="preserve">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002f4124da1f4d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f1b96925f4eb9" /><Relationship Type="http://schemas.openxmlformats.org/officeDocument/2006/relationships/footer" Target="/word/footer.xml" Id="R002f4124da1f4d24" /></Relationships>
</file>