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35978e9c284cfc" /></Relationships>
</file>

<file path=word/document.xml><?xml version="1.0" encoding="utf-8"?>
<w:document xmlns:w="http://schemas.openxmlformats.org/wordprocessingml/2006/main">
  <w:body>
    <w:p>
      <w:r>
        <w:t>H-0856.1</w:t>
      </w:r>
    </w:p>
    <w:p>
      <w:pPr>
        <w:jc w:val="center"/>
      </w:pPr>
      <w:r>
        <w:t>_______________________________________________</w:t>
      </w:r>
    </w:p>
    <w:p/>
    <w:p>
      <w:pPr>
        <w:jc w:val="center"/>
      </w:pPr>
      <w:r>
        <w:rPr>
          <w:b/>
        </w:rPr>
        <w:t>HOUSE BILL 1349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Buys, Chandler, Short, Haler, and Koster</w:t>
      </w:r>
    </w:p>
    <w:p/>
    <w:p>
      <w:r>
        <w:rPr>
          <w:t xml:space="preserve">Read first time 01/18/17.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any minimal cumulative impacts of permit-exempt groundwater wells on water levels to be overwhelmingly offset by state investments in fish habitat improvement projects; and adding new sections to chapter 90.44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finds that, since 1997, the state has invested millions of dollars during twenty years of projects that benefit fish. The following expenditures, among others, have benefited fish by improving habitat or by making more water available to remain in streams:</w:t>
      </w:r>
    </w:p>
    <w:p>
      <w:pPr>
        <w:spacing w:before="0" w:after="0" w:line="408" w:lineRule="exact"/>
        <w:ind w:left="0" w:right="0" w:firstLine="576"/>
        <w:jc w:val="left"/>
      </w:pPr>
      <w:r>
        <w:rPr/>
        <w:t xml:space="preserve">(a) One hundred sixty-four million dollars for water projects that improve water resource availability, including:</w:t>
      </w:r>
    </w:p>
    <w:p>
      <w:pPr>
        <w:spacing w:before="0" w:after="0" w:line="408" w:lineRule="exact"/>
        <w:ind w:left="0" w:right="0" w:firstLine="576"/>
        <w:jc w:val="left"/>
      </w:pPr>
      <w:r>
        <w:rPr/>
        <w:t xml:space="preserve">(i) Water irrigation efficiencies program;</w:t>
      </w:r>
    </w:p>
    <w:p>
      <w:pPr>
        <w:spacing w:before="0" w:after="0" w:line="408" w:lineRule="exact"/>
        <w:ind w:left="0" w:right="0" w:firstLine="576"/>
        <w:jc w:val="left"/>
      </w:pPr>
      <w:r>
        <w:rPr/>
        <w:t xml:space="preserve">(ii) Watershed plan implementation and flow achievement;</w:t>
      </w:r>
    </w:p>
    <w:p>
      <w:pPr>
        <w:spacing w:before="0" w:after="0" w:line="408" w:lineRule="exact"/>
        <w:ind w:left="0" w:right="0" w:firstLine="576"/>
        <w:jc w:val="left"/>
      </w:pPr>
      <w:r>
        <w:rPr/>
        <w:t xml:space="preserve">(iii) Sunnyside Valley irrigation district water conservation;</w:t>
      </w:r>
    </w:p>
    <w:p>
      <w:pPr>
        <w:spacing w:before="0" w:after="0" w:line="408" w:lineRule="exact"/>
        <w:ind w:left="0" w:right="0" w:firstLine="576"/>
        <w:jc w:val="left"/>
      </w:pPr>
      <w:r>
        <w:rPr/>
        <w:t xml:space="preserve">(iv) Drought response;</w:t>
      </w:r>
    </w:p>
    <w:p>
      <w:pPr>
        <w:spacing w:before="0" w:after="0" w:line="408" w:lineRule="exact"/>
        <w:ind w:left="0" w:right="0" w:firstLine="576"/>
        <w:jc w:val="left"/>
      </w:pPr>
      <w:r>
        <w:rPr/>
        <w:t xml:space="preserve">(v) Water conveyance projects; and</w:t>
      </w:r>
    </w:p>
    <w:p>
      <w:pPr>
        <w:spacing w:before="0" w:after="0" w:line="408" w:lineRule="exact"/>
        <w:ind w:left="0" w:right="0" w:firstLine="576"/>
        <w:jc w:val="left"/>
      </w:pPr>
      <w:r>
        <w:rPr/>
        <w:t xml:space="preserve">(vi) The purchase of water rights, mitigation, and water availability studies; and</w:t>
      </w:r>
    </w:p>
    <w:p>
      <w:pPr>
        <w:spacing w:before="0" w:after="0" w:line="408" w:lineRule="exact"/>
        <w:ind w:left="0" w:right="0" w:firstLine="576"/>
        <w:jc w:val="left"/>
      </w:pPr>
      <w:r>
        <w:rPr/>
        <w:t xml:space="preserve">(b) One hundred twenty million dollars in land acquisitions for salmon or fish habitat, which has leveraged an additional one hundred eighty million dollars in investments by the federal government or project sponsors. These funds were expended on:</w:t>
      </w:r>
    </w:p>
    <w:p>
      <w:pPr>
        <w:spacing w:before="0" w:after="0" w:line="408" w:lineRule="exact"/>
        <w:ind w:left="0" w:right="0" w:firstLine="576"/>
        <w:jc w:val="left"/>
      </w:pPr>
      <w:r>
        <w:rPr/>
        <w:t xml:space="preserve">(i) Salmon recovery funding board grants;</w:t>
      </w:r>
    </w:p>
    <w:p>
      <w:pPr>
        <w:spacing w:before="0" w:after="0" w:line="408" w:lineRule="exact"/>
        <w:ind w:left="0" w:right="0" w:firstLine="576"/>
        <w:jc w:val="left"/>
      </w:pPr>
      <w:r>
        <w:rPr/>
        <w:t xml:space="preserve">(ii) Estuary and salmon restoration program grants;</w:t>
      </w:r>
    </w:p>
    <w:p>
      <w:pPr>
        <w:spacing w:before="0" w:after="0" w:line="408" w:lineRule="exact"/>
        <w:ind w:left="0" w:right="0" w:firstLine="576"/>
        <w:jc w:val="left"/>
      </w:pPr>
      <w:r>
        <w:rPr/>
        <w:t xml:space="preserve">(iii) Fish passage barrier removal board grants;</w:t>
      </w:r>
    </w:p>
    <w:p>
      <w:pPr>
        <w:spacing w:before="0" w:after="0" w:line="408" w:lineRule="exact"/>
        <w:ind w:left="0" w:right="0" w:firstLine="576"/>
        <w:jc w:val="left"/>
      </w:pPr>
      <w:r>
        <w:rPr/>
        <w:t xml:space="preserve">(iv) Coastal restoration grants;</w:t>
      </w:r>
    </w:p>
    <w:p>
      <w:pPr>
        <w:spacing w:before="0" w:after="0" w:line="408" w:lineRule="exact"/>
        <w:ind w:left="0" w:right="0" w:firstLine="576"/>
        <w:jc w:val="left"/>
      </w:pPr>
      <w:r>
        <w:rPr/>
        <w:t xml:space="preserve">(v) Chehalis basin program habitat grants;</w:t>
      </w:r>
    </w:p>
    <w:p>
      <w:pPr>
        <w:spacing w:before="0" w:after="0" w:line="408" w:lineRule="exact"/>
        <w:ind w:left="0" w:right="0" w:firstLine="576"/>
        <w:jc w:val="left"/>
      </w:pPr>
      <w:r>
        <w:rPr/>
        <w:t xml:space="preserve">(vi) Family forest fish passage program grants; and</w:t>
      </w:r>
    </w:p>
    <w:p>
      <w:pPr>
        <w:spacing w:before="0" w:after="0" w:line="408" w:lineRule="exact"/>
        <w:ind w:left="0" w:right="0" w:firstLine="576"/>
        <w:jc w:val="left"/>
      </w:pPr>
      <w:r>
        <w:rPr/>
        <w:t xml:space="preserve">(vii) Puget Sound acquisition and restoration grants.</w:t>
      </w:r>
    </w:p>
    <w:p>
      <w:pPr>
        <w:spacing w:before="0" w:after="0" w:line="408" w:lineRule="exact"/>
        <w:ind w:left="0" w:right="0" w:firstLine="576"/>
        <w:jc w:val="left"/>
      </w:pPr>
      <w:r>
        <w:rPr/>
        <w:t xml:space="preserve">(2) In addition, since 2007, the Bonneville power administration has invested three hundred thirty-one million dollars in fish habitat improvement projects in Washington. These investments are on top of the approximately two hundred million dollars to two hundred fifty million dollars per year in regional revenues that are foregone due to water spillage at dams for the protection of fish runs. A substantial portion of these investments and foregone revenues are borne by Washington residents in the form of higher electric utility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In light of the expenditures identified in section 1 of this act and since the primary rationale for designating instream flows has historically been to protect fish habitat, any cumulative de minimis impacts on instream or base flows that are associated with permit-exempt groundwater withdrawals under RCW 90.44.050 are deemed to be forever fully mitigated by the beneficial impacts on fish habitat that accrue from these investments in state water resource improvement. Therefore, the withdrawal of permit-exempt groundwater under RCW 90.44.050 does not require a water right under this title, and such withdrawals are deemed not to impair senior water rights.</w:t>
      </w:r>
    </w:p>
    <w:p/>
    <w:p>
      <w:pPr>
        <w:jc w:val="center"/>
      </w:pPr>
      <w:r>
        <w:rPr>
          <w:b/>
        </w:rPr>
        <w:t>--- END ---</w:t>
      </w:r>
    </w:p>
    <w:sectPr>
      <w:pgNumType w:start="1"/>
      <w:footerReference xmlns:r="http://schemas.openxmlformats.org/officeDocument/2006/relationships" r:id="R1d1388fd2a8644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8327048c14ce4" /><Relationship Type="http://schemas.openxmlformats.org/officeDocument/2006/relationships/footer" Target="/word/footer.xml" Id="R1d1388fd2a864475" /></Relationships>
</file>