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71bacc008427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1503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Environment (originally sponsored by Representatives Short, Taylor, Van Werven, Buys, Haler, Kraft, and Hargrove)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unfunded mandates involving on-site sewage systems from affecting local governments and property owners; adding a new section to chapter 36.70A RCW; adding a new section to chapter 70.118A RCW; and adding a new section to chapter 70.05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does not preclude counties from authorizing inspections of on-site sewage systems to be conducted by a homeowner, a homeowner's family member, or a homeowner's tenant that has completed certification requirements specified by the county. Nothing in this section eliminates the requirement that counties protect water quality consistent with RCW 36.70A.070 (1) and (5).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118A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prohibits a county from relying on self-inspection of on-site sewage systems consistent with section 1 of this act or eliminates the requirement that counties protect water quality consistent with RCW 36.70A.070 (1) and (5).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prohibits a county from relying on self-inspection of on-site sewage systems consistent with section 1 of this act or eliminates the requirement that counties protect water quality consistent with RCW 36.70A.070 (1) and (5).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bcaf92e388444d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1503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38b89664d4d86" /><Relationship Type="http://schemas.openxmlformats.org/officeDocument/2006/relationships/footer" Target="/word/footer.xml" Id="R5bcaf92e388444db" /></Relationships>
</file>