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262db0d0343b3" /></Relationships>
</file>

<file path=word/document.xml><?xml version="1.0" encoding="utf-8"?>
<w:document xmlns:w="http://schemas.openxmlformats.org/wordprocessingml/2006/main">
  <w:body>
    <w:p>
      <w:r>
        <w:t>H-0849.1</w:t>
      </w:r>
    </w:p>
    <w:p>
      <w:pPr>
        <w:jc w:val="center"/>
      </w:pPr>
      <w:r>
        <w:t>_______________________________________________</w:t>
      </w:r>
    </w:p>
    <w:p/>
    <w:p>
      <w:pPr>
        <w:jc w:val="center"/>
      </w:pPr>
      <w:r>
        <w:rPr>
          <w:b/>
        </w:rPr>
        <w:t>HOUSE BILL 1505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Kloba, Goodman, Macri, Doglio, and McBride</w:t>
      </w:r>
    </w:p>
    <w:p/>
    <w:p>
      <w:r>
        <w:rPr>
          <w:t xml:space="preserve">Read first time 01/23/17.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naloxone access grant program; reenacting and amending RCW 43.84.092; adding new sections to chapter 69.50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fee of one-half of one cent per morphine equivalent dose placed upon each sale by any wholesale distributor of prescription opioids distributed in Washington state.</w:t>
      </w:r>
    </w:p>
    <w:p>
      <w:pPr>
        <w:spacing w:before="0" w:after="0" w:line="408" w:lineRule="exact"/>
        <w:ind w:left="0" w:right="0" w:firstLine="576"/>
        <w:jc w:val="left"/>
      </w:pPr>
      <w:r>
        <w:rPr/>
        <w:t xml:space="preserve">(2) The fee imposed under subsection (1) of this section is in addition to any other fees or taxes that apply to the sale or use of prescription opioids. The fee imposed under subsection (1) of this section applies to the wholesale sale of prescription opioids that are also subject to business and occupation tax under chapter 82.04 RCW or would be subject to tax under chapter 82.04 RCW if not for the application of any tax preference related to the sale of prescription opioids.</w:t>
      </w:r>
    </w:p>
    <w:p>
      <w:pPr>
        <w:spacing w:before="0" w:after="0" w:line="408" w:lineRule="exact"/>
        <w:ind w:left="0" w:right="0" w:firstLine="576"/>
        <w:jc w:val="left"/>
      </w:pPr>
      <w:r>
        <w:rPr/>
        <w:t xml:space="preserve">(3) The fee pursuant to subsection (1) of this section shall be remitted to the department of revenue at the same time as the wholesale distributor remits its business and occupation tax under chapter 82.32 RCW.</w:t>
      </w:r>
    </w:p>
    <w:p>
      <w:pPr>
        <w:spacing w:before="0" w:after="0" w:line="408" w:lineRule="exact"/>
        <w:ind w:left="0" w:right="0" w:firstLine="576"/>
        <w:jc w:val="left"/>
      </w:pPr>
      <w:r>
        <w:rPr/>
        <w:t xml:space="preserve">(4) The department of revenue shall deposit all receipts from the fee in subsection (1) of this section into the naloxone access account established pursuant to section 2 of this act.</w:t>
      </w:r>
    </w:p>
    <w:p>
      <w:pPr>
        <w:spacing w:before="0" w:after="0" w:line="408" w:lineRule="exact"/>
        <w:ind w:left="0" w:right="0" w:firstLine="576"/>
        <w:jc w:val="left"/>
      </w:pPr>
      <w:r>
        <w:rPr/>
        <w:t xml:space="preserve">(5) For the purposes of this section, a "prescription opioid" means hydrocodone, oxycodone, oxymorphone, propoxyphene, hydromorphone, meperidine, diphenoxylate, or fentanyl prescribed by a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naloxone access account is created in the state treasury. All receipts from the fee in section 1 of this act must be deposited into the account. Moneys in the account may only be spent after appropriation. Expenditures from the account may only be used for the department to administer the naloxone access grant program established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department shall establish the naloxone access grant program to distribute funds to local health jurisdictions to purchase naloxone, distribute it to persons at highest risk for opioid overdose, provide training regarding how to administer naloxone, and engage in community outreach to educate the public regarding potential harms of opioid use.</w:t>
      </w:r>
    </w:p>
    <w:p>
      <w:pPr>
        <w:spacing w:before="0" w:after="0" w:line="408" w:lineRule="exact"/>
        <w:ind w:left="0" w:right="0" w:firstLine="576"/>
        <w:jc w:val="left"/>
      </w:pPr>
      <w:r>
        <w:rPr/>
        <w:t xml:space="preserve">(2) The department shall establish all necessary procedures to administer the naloxone access grant program, including establishing application procedures, adopting scoring criteria for grant applications, and distributing grants from the naloxone access account to successful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w:t>
      </w:r>
      <w:r>
        <w:rPr>
          <w:u w:val="single"/>
        </w:rPr>
        <w:t xml:space="preserve">the naloxone access account,</w:t>
      </w:r>
      <w:r>
        <w:rPr/>
        <w:t xml:space="preserve">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4a16367b150a4c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9964d9626480e" /><Relationship Type="http://schemas.openxmlformats.org/officeDocument/2006/relationships/footer" Target="/word/footer.xml" Id="R4a16367b150a4c95" /></Relationships>
</file>