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05cb47b77452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Robinson, McBride, Pellicciotti, Orwall, Macri, Ormsby, Gregerson, Kloba, Pollet, Appleton, Bergquist, Tharinger, Clibborn, Farrell, and Dolan)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terms for closure or conversion notices for mobile home parks and manufactured housing communities; amending RCW 59.20.060, 59.20.080, 59.21.030, and 59.20.073;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eighteen months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eighteen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eighteen-month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w:t>
      </w:r>
      <w:r>
        <w:t>))</w:t>
      </w:r>
      <w:r>
        <w:rPr/>
        <w:t xml:space="preserve"> </w:t>
      </w:r>
      <w:r>
        <w:rPr>
          <w:u w:val="single"/>
        </w:rPr>
        <w:t xml:space="preserve">eighteen</w:t>
      </w:r>
      <w:r>
        <w:rPr/>
        <w:t xml:space="preserve"> months'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eighteen-month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eighteen months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712c1c506443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fd082151984fa0" /><Relationship Type="http://schemas.openxmlformats.org/officeDocument/2006/relationships/footer" Target="/word/footer.xml" Id="Rb2712c1c506443c6" /></Relationships>
</file>