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6fa56114e4039" /></Relationships>
</file>

<file path=word/document.xml><?xml version="1.0" encoding="utf-8"?>
<w:document xmlns:w="http://schemas.openxmlformats.org/wordprocessingml/2006/main">
  <w:body>
    <w:p>
      <w:r>
        <w:t>H-2028.1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Robinson, Johnson, Cody, Harris, Pollet, Doglio, Appleton, Fitzgibbon, Tharinger, Farrell, McBride, Fey, and Macri)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health plans to cover, with no cost sharing, all preventive services required to be covered under federal law as of December 31, 2016;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plan issued on or after the effective date of this section must, at a minimum, provide coverage for the same preventive services required to be covered under 42 U.S.C. Sec. 300gg-13 (2016) and any federal rules or guidance in effect on December 31, 2016, implementing 42 U.S.C. Sec. 300gg-13.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health plan may not impose cost-sharing requirements for the preventive services required to be covered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insurance commissioner shall enforce this section consistent with federal rules, guidance, and case law applicable to 42 U.S.C. 300gg-13 (2016).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3699de08f444df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32f22bd204f23" /><Relationship Type="http://schemas.openxmlformats.org/officeDocument/2006/relationships/footer" Target="/word/footer.xml" Id="R33699de08f444dfc" /></Relationships>
</file>