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dd37c94324b65" /></Relationships>
</file>

<file path=word/document.xml><?xml version="1.0" encoding="utf-8"?>
<w:document xmlns:w="http://schemas.openxmlformats.org/wordprocessingml/2006/main">
  <w:body>
    <w:p>
      <w:r>
        <w:t>H-1058.1</w:t>
      </w:r>
    </w:p>
    <w:p>
      <w:pPr>
        <w:jc w:val="center"/>
      </w:pPr>
      <w:r>
        <w:t>_______________________________________________</w:t>
      </w:r>
    </w:p>
    <w:p/>
    <w:p>
      <w:pPr>
        <w:jc w:val="center"/>
      </w:pPr>
      <w:r>
        <w:rPr>
          <w:b/>
        </w:rPr>
        <w:t>HOUSE BILL 1553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Short, Goodman, Kirby, and Ormsby</w:t>
      </w:r>
    </w:p>
    <w:p/>
    <w:p>
      <w:r>
        <w:rPr>
          <w:t xml:space="preserve">Read first time 01/23/17.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displaying or wearing motorcycle-related or motorcycle club-related paraphernalia as a factor in profiling discrimination; and amending RCW 49.60.030.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w:t>
      </w:r>
      <w:r>
        <w:t>((</w:t>
      </w:r>
      <w:r>
        <w:rPr>
          <w:strike/>
        </w:rPr>
        <w:t xml:space="preserve">or</w:t>
      </w:r>
      <w:r>
        <w:t>))</w:t>
      </w:r>
      <w:r>
        <w:rPr/>
        <w:t xml:space="preserve"> the presence of any sensory, mental, or physical disability </w:t>
      </w:r>
      <w:r>
        <w:t>((</w:t>
      </w:r>
      <w:r>
        <w:rPr>
          <w:strike/>
        </w:rPr>
        <w:t xml:space="preserve">or</w:t>
      </w:r>
      <w:r>
        <w:t>))</w:t>
      </w:r>
      <w:r>
        <w:rPr>
          <w:u w:val="single"/>
        </w:rPr>
        <w:t xml:space="preserve">,</w:t>
      </w:r>
      <w:r>
        <w:rPr/>
        <w:t xml:space="preserve"> the use of a trained dog guide or service animal by a person with a disability</w:t>
      </w:r>
      <w:r>
        <w:rPr>
          <w:u w:val="single"/>
        </w:rPr>
        <w:t xml:space="preserve">, or wearing motorcycle-related or motorcycle club-related paraphernalia</w:t>
      </w:r>
      <w:r>
        <w:rPr/>
        <w:t xml:space="preserve">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w:t>
      </w:r>
      <w:r>
        <w:t>((</w:t>
      </w:r>
      <w:r>
        <w:rPr>
          <w:strike/>
        </w:rPr>
        <w:t xml:space="preserve">subparagraph</w:t>
      </w:r>
      <w:r>
        <w:t>))</w:t>
      </w:r>
      <w:r>
        <w:rPr/>
        <w:t xml:space="preserve"> </w:t>
      </w:r>
      <w:r>
        <w:rPr>
          <w:u w:val="single"/>
        </w:rPr>
        <w:t xml:space="preserve">subsection (1)(e)</w:t>
      </w:r>
      <w:r>
        <w:rPr/>
        <w:t xml:space="preserve">;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w:t>
      </w:r>
      <w:r>
        <w:t>((</w:t>
      </w:r>
      <w:r>
        <w:rPr>
          <w:strike/>
        </w:rPr>
        <w:t xml:space="preserve">or</w:t>
      </w:r>
      <w:r>
        <w:t>))</w:t>
      </w:r>
      <w:r>
        <w:rPr/>
        <w:t xml:space="preserve"> the use of a trained dog guide or service animal by a person with a disability, </w:t>
      </w:r>
      <w:r>
        <w:t>((</w:t>
      </w:r>
      <w:r>
        <w:rPr>
          <w:strike/>
        </w:rPr>
        <w:t xml:space="preserve">or</w:t>
      </w:r>
      <w:r>
        <w:t>))</w:t>
      </w:r>
      <w:r>
        <w:rPr/>
        <w:t xml:space="preserve"> national origin or lawful business relationship</w:t>
      </w:r>
      <w:r>
        <w:rPr>
          <w:u w:val="single"/>
        </w:rPr>
        <w:t xml:space="preserve">, or wearing motorcycle-related or motorcycle club-related paraphernalia</w:t>
      </w:r>
      <w:r>
        <w:rPr/>
        <w:t xml:space="preserve">: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to be free from profiling. For the purposes of this section, profiling means, with or without a legal basis under the United States Constitution or Washington state Constitution, reliance on any characteristic of a classification listed in this subsection as a factor in deciding to (i) stop and question, take enforcement action, arrest, or search a person or vehicle; or (ii) exclude an individual or group from any place of public resort, accommodation, assemblage, or amusement, as defined in RCW 49.60.040(2)</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
      <w:pPr>
        <w:jc w:val="center"/>
      </w:pPr>
      <w:r>
        <w:rPr>
          <w:b/>
        </w:rPr>
        <w:t>--- END ---</w:t>
      </w:r>
    </w:p>
    <w:sectPr>
      <w:pgNumType w:start="1"/>
      <w:footerReference xmlns:r="http://schemas.openxmlformats.org/officeDocument/2006/relationships" r:id="Rbe3c577c4c9840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71b7f006642e1" /><Relationship Type="http://schemas.openxmlformats.org/officeDocument/2006/relationships/footer" Target="/word/footer.xml" Id="Rbe3c577c4c98406b" /></Relationships>
</file>