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49f30b1bbf43e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Frame, Pollet, Doglio, Kloba, Bergquist, Kilduff, Stanford, Dolan, Peterson, Stonier, Senn, Slatter, Fey, Lovick, Macri, Tarleton, Tharinger, Sawyer, Goodman, and Farrell)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educational resources;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and modify, or create new, open educational resources for the purpose of reducing students' cost of attendance. Grant dollars may not be used to duplicate open educational resources that are already free and publicly available.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2018,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2018,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open educational resources that the Washington state institute for public policy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bcefc6cdba1b40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00de4f7714505" /><Relationship Type="http://schemas.openxmlformats.org/officeDocument/2006/relationships/footer" Target="/word/footer.xml" Id="Rbcefc6cdba1b40da" /></Relationships>
</file>