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92b9284e14095" /></Relationships>
</file>

<file path=word/document.xml><?xml version="1.0" encoding="utf-8"?>
<w:document xmlns:w="http://schemas.openxmlformats.org/wordprocessingml/2006/main">
  <w:body>
    <w:p>
      <w:r>
        <w:t>H-3949.2</w:t>
      </w:r>
    </w:p>
    <w:p>
      <w:pPr>
        <w:jc w:val="center"/>
      </w:pPr>
      <w:r>
        <w:t>_______________________________________________</w:t>
      </w:r>
    </w:p>
    <w:p/>
    <w:p>
      <w:pPr>
        <w:jc w:val="center"/>
      </w:pPr>
      <w:r>
        <w:rPr>
          <w:b/>
        </w:rPr>
        <w:t>SECOND SUBSTITUTE HOUSE BILL 1570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43.185C.060, 43.185C.061, 43.185C.160,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oftentimes long-term consequences on the educational achievement of public school children and disproportionately impacts students of color. Additionally, the legislature recognizes that the health and safety of people experiencing homelessness is immediately and often 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(4)</w:t>
      </w:r>
      <w:r>
        <w:rPr/>
        <w:t xml:space="preserve"> of this section, an additional surcharge of </w:t>
      </w:r>
      <w:r>
        <w:t>((</w:t>
      </w:r>
      <w:r>
        <w:rPr>
          <w:strike/>
        </w:rPr>
        <w:t xml:space="preserve">ten</w:t>
      </w:r>
      <w:r>
        <w:t>))</w:t>
      </w:r>
      <w:r>
        <w:rPr/>
        <w:t xml:space="preserve"> </w:t>
      </w:r>
      <w:r>
        <w:rPr>
          <w:u w:val="single"/>
        </w:rPr>
        <w:t xml:space="preserve">forty</w:t>
      </w:r>
      <w:r>
        <w:rPr/>
        <w:t xml:space="preserve"> dollars shall be charged by the county auditor for each document recorded, which will be in addition to any other charge allowed by law. </w:t>
      </w:r>
      <w:r>
        <w:t>((</w:t>
      </w:r>
      <w:r>
        <w:rPr>
          <w:strike/>
        </w:rPr>
        <w:t xml:space="preserve">From September 1, 2012, through June 30, 2023, the surcharge shall be forty dollars.</w:t>
      </w:r>
      <w:r>
        <w:t>))</w:t>
      </w:r>
      <w:r>
        <w:rPr/>
        <w:t xml:space="preserve"> The funds collected pursuant to this </w:t>
      </w:r>
      <w:r>
        <w:t>((</w:t>
      </w:r>
      <w:r>
        <w:rPr>
          <w:strike/>
        </w:rPr>
        <w:t xml:space="preserve">section</w:t>
      </w:r>
      <w:r>
        <w:t>))</w:t>
      </w:r>
      <w:r>
        <w:rPr/>
        <w:t xml:space="preserve"> </w:t>
      </w:r>
      <w:r>
        <w:rPr>
          <w:u w:val="single"/>
        </w:rPr>
        <w:t xml:space="preserve">subsection</w:t>
      </w:r>
      <w:r>
        <w:rPr/>
        <w:t xml:space="preserve">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w:t>
      </w:r>
      <w:r>
        <w:rPr>
          <w:u w:val="single"/>
        </w:rPr>
        <w:t xml:space="preserve">(a) In addition to the surcharge authorized in subsection (1) of this section, and except as provided in subsection (4) of this section, a county legislative authority may charge an additional surcharge of no more than fifty dollars for each document recorded. The auditor shall retain two percent of the additional surcharge as a fee for the collection of any additional surcharge charged under this subsection, and shall remit the remainder of the amount collected to the county to accomplish the purposes set out in subsection (1) of this section.</w:t>
      </w:r>
    </w:p>
    <w:p>
      <w:pPr>
        <w:spacing w:before="0" w:after="0" w:line="408" w:lineRule="exact"/>
        <w:ind w:left="0" w:right="0" w:firstLine="576"/>
        <w:jc w:val="left"/>
      </w:pPr>
      <w:r>
        <w:rPr>
          <w:u w:val="single"/>
        </w:rPr>
        <w:t xml:space="preserve">(b) A county must wait ninety days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(3) A county issuing general obligation bonds pursuant to RCW 36.67.010, to carry out the purposes of subsection (1) of this section, may provide that such bonds be made payable from any surcharge provided for in subsection (2) of this section and may pledge such surcharges to the repayment of the bonds</w:t>
      </w:r>
      <w:r>
        <w:rPr>
          <w:u w:val="single"/>
        </w:rPr>
        <w:t xml:space="preserve">.</w:t>
      </w:r>
    </w:p>
    <w:p>
      <w:pPr>
        <w:spacing w:before="0" w:after="0" w:line="408" w:lineRule="exact"/>
        <w:ind w:left="0" w:right="0" w:firstLine="576"/>
        <w:jc w:val="left"/>
      </w:pPr>
      <w:r>
        <w:rPr>
          <w:u w:val="single"/>
        </w:rPr>
        <w:t xml:space="preserve">(4)</w:t>
      </w:r>
      <w:r>
        <w:rPr/>
        <w:t xml:space="preserve"> The surcharge</w:t>
      </w:r>
      <w:r>
        <w:rPr>
          <w:u w:val="single"/>
        </w:rPr>
        <w:t xml:space="preserve">s</w:t>
      </w:r>
      <w:r>
        <w:rPr/>
        <w:t xml:space="preserve"> imposed in this section </w:t>
      </w:r>
      <w:r>
        <w:t>((</w:t>
      </w:r>
      <w:r>
        <w:rPr>
          <w:strike/>
        </w:rPr>
        <w:t xml:space="preserve">does</w:t>
      </w:r>
      <w:r>
        <w:t>))</w:t>
      </w:r>
      <w:r>
        <w:rPr/>
        <w:t xml:space="preserve"> </w:t>
      </w:r>
      <w:r>
        <w:rPr>
          <w:u w:val="single"/>
        </w:rPr>
        <w:t xml:space="preserve">do</w:t>
      </w:r>
      <w:r>
        <w:rPr/>
        <w:t xml:space="preserve"> not apply to</w:t>
      </w:r>
      <w:r>
        <w:rPr>
          <w:u w:val="single"/>
        </w:rPr>
        <w:t xml:space="preserve">:</w:t>
      </w:r>
      <w:r>
        <w:rPr/>
        <w:t xml:space="preserve"> (a) </w:t>
      </w:r>
      <w:r>
        <w:rPr>
          <w:u w:val="single"/>
        </w:rPr>
        <w:t xml:space="preserve">A</w:t>
      </w:r>
      <w:r>
        <w:rPr/>
        <w:t xml:space="preserve">ssignments or substitutions of previously recorded deeds of trust</w:t>
      </w:r>
      <w:r>
        <w:t>((</w:t>
      </w:r>
      <w:r>
        <w:rPr>
          <w:strike/>
        </w:rPr>
        <w:t xml:space="preserve">,</w:t>
      </w:r>
      <w:r>
        <w:t>))</w:t>
      </w:r>
      <w:r>
        <w:rPr>
          <w:u w:val="single"/>
        </w:rPr>
        <w:t xml:space="preserve">;</w:t>
      </w:r>
      <w:r>
        <w:rPr/>
        <w:t xml:space="preserve"> (b) documents recording a birth, marriage, divorce, or death</w:t>
      </w:r>
      <w:r>
        <w:t>((</w:t>
      </w:r>
      <w:r>
        <w:rPr>
          <w:strike/>
        </w:rPr>
        <w:t xml:space="preserve">,</w:t>
      </w:r>
      <w:r>
        <w:t>))</w:t>
      </w:r>
      <w:r>
        <w:rPr>
          <w:u w:val="single"/>
        </w:rPr>
        <w:t xml:space="preserve">;</w:t>
      </w:r>
      <w:r>
        <w:rPr/>
        <w:t xml:space="preserve"> (c) any recorded documents otherwise exempted from a recording fee or additional surcharges under state law</w:t>
      </w:r>
      <w:r>
        <w:t>((</w:t>
      </w:r>
      <w:r>
        <w:rPr>
          <w:strike/>
        </w:rPr>
        <w:t xml:space="preserve">,</w:t>
      </w:r>
      <w:r>
        <w:t>))</w:t>
      </w:r>
      <w:r>
        <w:rPr>
          <w:u w:val="single"/>
        </w:rPr>
        <w:t xml:space="preserve">;</w:t>
      </w:r>
      <w:r>
        <w:rPr/>
        <w:t xml:space="preserve"> (d) marriage licenses issued by the county auditor</w:t>
      </w:r>
      <w:r>
        <w:t>((</w:t>
      </w:r>
      <w:r>
        <w:rPr>
          <w:strike/>
        </w:rPr>
        <w:t xml:space="preserve">,</w:t>
      </w:r>
      <w:r>
        <w:t>))</w:t>
      </w:r>
      <w:r>
        <w:rPr>
          <w:u w:val="single"/>
        </w:rPr>
        <w:t xml:space="preserve">; or</w:t>
      </w:r>
      <w:r>
        <w:rPr/>
        <w:t xml:space="preserve"> (e) documents recording a state, county, or city lien or satisfaction of lien</w:t>
      </w:r>
      <w:r>
        <w:t>((</w:t>
      </w:r>
      <w:r>
        <w:rPr>
          <w:strike/>
        </w:rPr>
        <w:t xml:space="preserve">, or (f) documents recording a water-sewer district lien or satisfaction of a lien for delinquent utility payments</w:t>
      </w:r>
      <w:r>
        <w:t>))</w:t>
      </w:r>
      <w:r>
        <w:rPr/>
        <w:t xml:space="preserve">.</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(7)(a)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consider, when completing the statewide homeless study, the following socioeconomic factors relating to:</w:t>
      </w:r>
    </w:p>
    <w:p>
      <w:pPr>
        <w:spacing w:before="0" w:after="0" w:line="408" w:lineRule="exact"/>
        <w:ind w:left="0" w:right="0" w:firstLine="576"/>
        <w:jc w:val="left"/>
      </w:pPr>
      <w:r>
        <w:rPr>
          <w:u w:val="single"/>
        </w:rPr>
        <w:t xml:space="preserve">(i) Local and statewide housing markets, including rent costs, vacancy rates, and availability of affordable housing relative to income;</w:t>
      </w:r>
    </w:p>
    <w:p>
      <w:pPr>
        <w:spacing w:before="0" w:after="0" w:line="408" w:lineRule="exact"/>
        <w:ind w:left="0" w:right="0" w:firstLine="576"/>
        <w:jc w:val="left"/>
      </w:pPr>
      <w:r>
        <w:rPr>
          <w:u w:val="single"/>
        </w:rPr>
        <w:t xml:space="preserve">(ii) Income, including unemployment rates, income levels and disparities, and wage workers' ability to afford rent at fair market rates; and</w:t>
      </w:r>
    </w:p>
    <w:p>
      <w:pPr>
        <w:spacing w:before="0" w:after="0" w:line="408" w:lineRule="exact"/>
        <w:ind w:left="0" w:right="0" w:firstLine="576"/>
        <w:jc w:val="left"/>
      </w:pPr>
      <w:r>
        <w:rPr>
          <w:u w:val="single"/>
        </w:rPr>
        <w:t xml:space="preserve">(iii) Barriers to accessing the private rental market, including the cost of screening fees and rental applications; screening factors such as source of income, minimum income requirements, and criminal records; and illegal discrimination as established in RCW 49.60.030.</w:t>
      </w:r>
    </w:p>
    <w:p>
      <w:pPr>
        <w:spacing w:before="0" w:after="0" w:line="408" w:lineRule="exact"/>
        <w:ind w:left="0" w:right="0" w:firstLine="576"/>
        <w:jc w:val="left"/>
      </w:pPr>
      <w:r>
        <w:rPr>
          <w:u w:val="single"/>
        </w:rPr>
        <w:t xml:space="preserve">(b) The department and the Washington state institute for public policy must develop a study proposal defining the study scope, methodology, and costs for the legislature to review by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2019,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w:t>
      </w:r>
      <w:r>
        <w:rPr/>
        <w:t xml:space="preserve">, the department shall issue by </w:t>
      </w:r>
      <w:r>
        <w:t>((</w:t>
      </w:r>
      <w:r>
        <w:rPr>
          <w:strike/>
        </w:rPr>
        <w:t xml:space="preserve">October 15, 2005, temporary</w:t>
      </w:r>
      <w:r>
        <w:t>))</w:t>
      </w:r>
      <w:r>
        <w:rPr/>
        <w:t xml:space="preserve"> </w:t>
      </w:r>
      <w:r>
        <w:rPr>
          <w:u w:val="single"/>
        </w:rPr>
        <w:t xml:space="preserve">December 1, 2018,</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strik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strik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r>
        <w:t>))</w:t>
      </w:r>
    </w:p>
    <w:p>
      <w:pPr>
        <w:spacing w:before="0" w:after="0" w:line="408" w:lineRule="exact"/>
        <w:ind w:left="0" w:right="0" w:firstLine="576"/>
        <w:jc w:val="left"/>
      </w:pPr>
      <w:r>
        <w:rPr/>
        <w:t xml:space="preserve">(4)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w:t>
      </w:r>
      <w:r>
        <w:t>((</w:t>
      </w:r>
      <w:r>
        <w:rPr>
          <w:strike/>
        </w:rPr>
        <w:t xml:space="preserve">state treasury, subject to appropriation. The state's portion of the surcharge established in RCW 36.22.179 and 36.22.1791 must be deposited in the account. Expenditures from the account may be used only for homeless housing programs as described in this chapter.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custody of the state treasurer. All receipts from the surcharge established in RCW 36.22.179 and 36.22.1791 must be deposited into the account. Expenditures from the account may be used only for homeless housing programs as described in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w:t>
      </w:r>
      <w:r>
        <w:t>((</w:t>
      </w:r>
      <w:r>
        <w:rPr>
          <w:strike/>
        </w:rPr>
        <w:t xml:space="preserve">appropriated</w:t>
      </w:r>
      <w:r>
        <w:t>))</w:t>
      </w:r>
      <w:r>
        <w:rPr/>
        <w:t xml:space="preserve"> </w:t>
      </w:r>
      <w:r>
        <w:rPr>
          <w:u w:val="single"/>
        </w:rPr>
        <w:t xml:space="preserve">alloted</w:t>
      </w:r>
      <w:r>
        <w:rPr/>
        <w:t xml:space="preserve"> to carry out the activities of RCW 43.330.700 through 43.330.715, 43.330.911, 43.185C.010, 43.185C.250 through 43.185C.320, and 43.330.167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d06347c8fe08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45a090aa4459c" /><Relationship Type="http://schemas.openxmlformats.org/officeDocument/2006/relationships/footer" Target="/word/footer.xml" Id="Rd06347c8fe084586" /></Relationships>
</file>