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20cee480e49a2" /></Relationships>
</file>

<file path=word/document.xml><?xml version="1.0" encoding="utf-8"?>
<w:document xmlns:w="http://schemas.openxmlformats.org/wordprocessingml/2006/main">
  <w:body>
    <w:p>
      <w:r>
        <w:t>H-1072.1</w:t>
      </w:r>
    </w:p>
    <w:p>
      <w:pPr>
        <w:jc w:val="center"/>
      </w:pPr>
      <w:r>
        <w:t>_______________________________________________</w:t>
      </w:r>
    </w:p>
    <w:p/>
    <w:p>
      <w:pPr>
        <w:jc w:val="center"/>
      </w:pPr>
      <w:r>
        <w:rPr>
          <w:b/>
        </w:rPr>
        <w:t>HOUSE BILL 1595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Nealey, McBride, Senn, Springer, Koster, Klippert, Dye, Schmick, J. Walsh, Haler, Manweller, Harris, Dent, Peterson, Bergquist, Gregerson, Clibborn, Fey, Fitzgibbon, Dolan, Wilcox, Lytton, Griffey, Hayes, Muri, Goodman, Robinson, Sells, Steele, Kraft, Smith, Tharinger, Stanford, Kloba, Jinkins, Hargrove, Slatter, and Kagi</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 associated with responding to public records requests; and amending RCW 42.56.070, 42.56.080, and 42.56.120.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an identifiable record. A request for all or substantially all records prepared, owned, used, or retained by an agency is not a valid request for identifiable records under this chapter.</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0" w:after="0" w:line="408" w:lineRule="exact"/>
        <w:ind w:left="0" w:right="0" w:firstLine="576"/>
        <w:jc w:val="left"/>
      </w:pPr>
      <w:r>
        <w:rPr>
          <w:u w:val="single"/>
        </w:rPr>
        <w:t xml:space="preserve">(3) An agency may deny a bot request that is one of multiple requests from the same source to the same agency within a twenty-four hour period of time, if it causes excessive interference with other essential functions of the agency.</w:t>
      </w:r>
    </w:p>
    <w:p>
      <w:pPr>
        <w:spacing w:before="0" w:after="0" w:line="408" w:lineRule="exact"/>
        <w:ind w:left="0" w:right="0" w:firstLine="576"/>
        <w:jc w:val="left"/>
      </w:pPr>
      <w:r>
        <w:rPr>
          <w:u w:val="single"/>
        </w:rPr>
        <w:t xml:space="preserve">(4) For purposes of this section, "bot request" means a request for public records that is automatically generated by a computer program, software technology, remote administration tool, or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to do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Ten cents per minute of audio or video recording copied or for the use of agency equipment to copy the recording;</w:t>
      </w:r>
    </w:p>
    <w:p>
      <w:pPr>
        <w:spacing w:before="0" w:after="0" w:line="408" w:lineRule="exact"/>
        <w:ind w:left="0" w:right="0" w:firstLine="576"/>
        <w:jc w:val="left"/>
      </w:pPr>
      <w:r>
        <w:rPr>
          <w:u w:val="single"/>
        </w:rPr>
        <w:t xml:space="preserve">(iv) Forty cents per each twenty-five electronic attachments uploaded to email, cloud-based data storage service, or other means of electronic delivery; and</w:t>
      </w:r>
    </w:p>
    <w:p>
      <w:pPr>
        <w:spacing w:before="0" w:after="0" w:line="408" w:lineRule="exact"/>
        <w:ind w:left="0" w:right="0" w:firstLine="576"/>
        <w:jc w:val="left"/>
      </w:pPr>
      <w:r>
        <w:rPr>
          <w:u w:val="single"/>
        </w:rPr>
        <w:t xml:space="preserve">(v) Ten cents per gigabyte for the transmission of public records in an electronic format or for the use of agency equipment to send the records electronically.</w:t>
      </w:r>
    </w:p>
    <w:p>
      <w:pPr>
        <w:spacing w:before="0" w:after="0" w:line="408" w:lineRule="exact"/>
        <w:ind w:left="0" w:right="0" w:firstLine="576"/>
        <w:jc w:val="left"/>
      </w:pPr>
      <w:r>
        <w:rPr>
          <w:u w:val="single"/>
        </w:rPr>
        <w:t xml:space="preserve">(c) An agency may charge a flat fee of five dollars for any request as an alternative to fees authorized under (a) or (b) of this subsection.</w:t>
      </w:r>
    </w:p>
    <w:p>
      <w:pPr>
        <w:spacing w:before="0" w:after="0" w:line="408" w:lineRule="exact"/>
        <w:ind w:left="0" w:right="0" w:firstLine="576"/>
        <w:jc w:val="left"/>
      </w:pPr>
      <w:r>
        <w:rPr>
          <w:u w:val="single"/>
        </w:rPr>
        <w:t xml:space="preserve">(3)(a) In addition to the charge imposed for providing copies of public records and for the use by any person of agency equipment copying costs, an agency may include a customized service charge for exceptionally complex requests for records that require staffing, resources, or expertise not normally available to an agency in regards to the size and scope of the agency function.</w:t>
      </w:r>
    </w:p>
    <w:p>
      <w:pPr>
        <w:spacing w:before="0" w:after="0" w:line="408" w:lineRule="exact"/>
        <w:ind w:left="0" w:right="0" w:firstLine="576"/>
        <w:jc w:val="left"/>
      </w:pPr>
      <w:r>
        <w:rPr>
          <w:u w:val="single"/>
        </w:rPr>
        <w:t xml:space="preserve">(b) A customized service charge may only be imposed if the agency estimates that the request would require:</w:t>
      </w:r>
    </w:p>
    <w:p>
      <w:pPr>
        <w:spacing w:before="0" w:after="0" w:line="408" w:lineRule="exact"/>
        <w:ind w:left="0" w:right="0" w:firstLine="576"/>
        <w:jc w:val="left"/>
      </w:pPr>
      <w:r>
        <w:rPr>
          <w:u w:val="single"/>
        </w:rPr>
        <w:t xml:space="preserve">(i) Extensive use of information technology resources to identify or locate a record, format or translate an electronic record, prepare data compilations, or provide customized electronic access services; or</w:t>
      </w:r>
    </w:p>
    <w:p>
      <w:pPr>
        <w:spacing w:before="0" w:after="0" w:line="408" w:lineRule="exact"/>
        <w:ind w:left="0" w:right="0" w:firstLine="576"/>
        <w:jc w:val="left"/>
      </w:pPr>
      <w:r>
        <w:rPr>
          <w:u w:val="single"/>
        </w:rPr>
        <w:t xml:space="preserve">(ii) Specialized analytical, research, or supervisory assistance to identify, locate, compile, or transfer records.</w:t>
      </w:r>
    </w:p>
    <w:p>
      <w:pPr>
        <w:spacing w:before="0" w:after="0" w:line="408" w:lineRule="exact"/>
        <w:ind w:left="0" w:right="0" w:firstLine="576"/>
        <w:jc w:val="left"/>
      </w:pPr>
      <w:r>
        <w:rPr>
          <w:u w:val="single"/>
        </w:rPr>
        <w:t xml:space="preserve">(c) The customized service charge authorized in this subsection (3) may reimburse the agency up to the actual cost of providing the services listed in (b) of this subsection.</w:t>
      </w:r>
    </w:p>
    <w:p>
      <w:pPr>
        <w:spacing w:before="0" w:after="0" w:line="408" w:lineRule="exact"/>
        <w:ind w:left="0" w:right="0" w:firstLine="576"/>
        <w:jc w:val="left"/>
      </w:pPr>
      <w:r>
        <w:rPr>
          <w:u w:val="single"/>
        </w:rPr>
        <w:t xml:space="preserve">(d) An agency may not assess a customized service charge unless the agency has notified the requestor of the charge to be applied to the request, including an explanation of why the charge applies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if it determines that the charge is not warranted. An agency may enter into any contract, memorandum of understanding, or other agreement with a requestor that provides an alternative fee arrangement to the charges authorized in this section, or in response to a voluminous or frequently occurring request.</w:t>
      </w:r>
    </w:p>
    <w:p/>
    <w:p>
      <w:pPr>
        <w:jc w:val="center"/>
      </w:pPr>
      <w:r>
        <w:rPr>
          <w:b/>
        </w:rPr>
        <w:t>--- END ---</w:t>
      </w:r>
    </w:p>
    <w:sectPr>
      <w:pgNumType w:start="1"/>
      <w:footerReference xmlns:r="http://schemas.openxmlformats.org/officeDocument/2006/relationships" r:id="Rdec95b49f8ed47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336619e014d2d" /><Relationship Type="http://schemas.openxmlformats.org/officeDocument/2006/relationships/footer" Target="/word/footer.xml" Id="Rdec95b49f8ed4763" /></Relationships>
</file>