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5c9e40bea24c0b" /></Relationships>
</file>

<file path=word/document.xml><?xml version="1.0" encoding="utf-8"?>
<w:document xmlns:w="http://schemas.openxmlformats.org/wordprocessingml/2006/main">
  <w:body>
    <w:p>
      <w:r>
        <w:t>H-1014.2</w:t>
      </w:r>
    </w:p>
    <w:p>
      <w:pPr>
        <w:jc w:val="center"/>
      </w:pPr>
      <w:r>
        <w:t>_______________________________________________</w:t>
      </w:r>
    </w:p>
    <w:p/>
    <w:p>
      <w:pPr>
        <w:jc w:val="center"/>
      </w:pPr>
      <w:r>
        <w:rPr>
          <w:b/>
        </w:rPr>
        <w:t>HOUSE BILL 1617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Ortiz-Self, Farrell, and Riccelli</w:t>
      </w:r>
    </w:p>
    <w:p/>
    <w:p>
      <w:r>
        <w:rPr>
          <w:t xml:space="preserve">Read first time 01/25/17.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welfare volunteer guardian ad litem program requirements; amending RCW 13.34.102; and reenacting and amending RCW 13.34.030.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2013 c 332 s 2 and 2013 c 182 s 2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means:</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"Housing assistance" means appropriate referrals by the department or other supervising agencies to federal, state, local, or private agencies or organizations, assistance with forms, applications, or financial subsidies or other monetary assistance for housing. For purposes of this chapter, "housing assistance" is not a remedial service or time-limited family reunification service as described in RCW 13.34.025(2).</w:t>
      </w:r>
    </w:p>
    <w:p>
      <w:pPr>
        <w:spacing w:before="0" w:after="0" w:line="408" w:lineRule="exact"/>
        <w:ind w:left="0" w:right="0" w:firstLine="576"/>
        <w:jc w:val="left"/>
      </w:pPr>
      <w:r>
        <w:rPr/>
        <w:t xml:space="preserve">(14)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(15)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(16)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(17) "Preventive services" means preservation services, as defined in chapter 74.14C RCW, and other reasonably available services, including housing assistance, capable of preventing the need for out-of-home placement while protecting the child.</w:t>
      </w:r>
    </w:p>
    <w:p>
      <w:pPr>
        <w:spacing w:before="0" w:after="0" w:line="408" w:lineRule="exact"/>
        <w:ind w:left="0" w:right="0" w:firstLine="576"/>
        <w:jc w:val="left"/>
      </w:pPr>
      <w:r>
        <w:rPr/>
        <w:t xml:space="preserve">(18)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(19)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(20) "Social study" means a written evaluation of matters relevant to the disposition of the case and shall contain the following information:</w:t>
      </w:r>
    </w:p>
    <w:p>
      <w:pPr>
        <w:spacing w:before="0" w:after="0" w:line="408" w:lineRule="exact"/>
        <w:ind w:left="0" w:right="0" w:firstLine="576"/>
        <w:jc w:val="left"/>
      </w:pPr>
      <w:r>
        <w:rPr/>
        <w:t xml:space="preserve">(a) A statement of the specific harm or harms to the child that intervention is designed to alleviate;</w:t>
      </w:r>
    </w:p>
    <w:p>
      <w:pPr>
        <w:spacing w:before="0" w:after="0" w:line="408" w:lineRule="exact"/>
        <w:ind w:left="0" w:right="0" w:firstLine="576"/>
        <w:jc w:val="left"/>
      </w:pPr>
      <w:r>
        <w:rPr/>
        <w:t xml:space="preserve">(b) A description of the specific services and activities, for both the parents and child, that are needed in order to prevent serious harm to the child; the reasons why such services and activities are likely to be useful; the availability of any proposed services; and the agency's overall plan for ensuring that the services will be delivered. The description shall identify the services chosen and approved by the parent;</w:t>
      </w:r>
    </w:p>
    <w:p>
      <w:pPr>
        <w:spacing w:before="0" w:after="0" w:line="408" w:lineRule="exact"/>
        <w:ind w:left="0" w:right="0" w:firstLine="576"/>
        <w:jc w:val="left"/>
      </w:pPr>
      <w:r>
        <w:rPr/>
        <w:t xml:space="preserve">(c) If removal is recommended, a full description of the reasons why the child cannot be protected adequately in the home, including a description of any previous efforts to work with the parents and the child in the home; the in-home treatment programs that have been considered and rejected; the preventive services, including housing assistance, that have been offered or provided and have failed to prevent the need for out-of-home placement, unless the health, safety, and welfare of the child cannot be protected adequately in the home; and the parents' attitude toward placement of the child;</w:t>
      </w:r>
    </w:p>
    <w:p>
      <w:pPr>
        <w:spacing w:before="0" w:after="0" w:line="408" w:lineRule="exact"/>
        <w:ind w:left="0" w:right="0" w:firstLine="576"/>
        <w:jc w:val="left"/>
      </w:pPr>
      <w:r>
        <w:rPr/>
        <w:t xml:space="preserve">(d) A statement of the likely harms the child will suffer as a result of removal;</w:t>
      </w:r>
    </w:p>
    <w:p>
      <w:pPr>
        <w:spacing w:before="0" w:after="0" w:line="408" w:lineRule="exact"/>
        <w:ind w:left="0" w:right="0" w:firstLine="576"/>
        <w:jc w:val="left"/>
      </w:pPr>
      <w:r>
        <w:rPr/>
        <w:t xml:space="preserve">(e) A description of the steps that will be taken to minimize the harm to the child that may result if separation occurs including an assessment of the child's relationship and emotional bond with any siblings, and the agency's plan to provide ongoing contact between the child and the child's siblings if appropriate; and</w:t>
      </w:r>
    </w:p>
    <w:p>
      <w:pPr>
        <w:spacing w:before="0" w:after="0" w:line="408" w:lineRule="exact"/>
        <w:ind w:left="0" w:right="0" w:firstLine="576"/>
        <w:jc w:val="left"/>
      </w:pPr>
      <w:r>
        <w:rPr/>
        <w:t xml:space="preserve">(f) Behavior that will be expected before determination that supervision of the family or placement is no longer necessary.</w:t>
      </w:r>
    </w:p>
    <w:p>
      <w:pPr>
        <w:spacing w:before="0" w:after="0" w:line="408" w:lineRule="exact"/>
        <w:ind w:left="0" w:right="0" w:firstLine="576"/>
        <w:jc w:val="left"/>
      </w:pPr>
      <w:r>
        <w:rPr/>
        <w:t xml:space="preserve">(21)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rPr/>
        <w:t xml:space="preserve">(22)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RCW 74.13.020.</w:t>
      </w:r>
    </w:p>
    <w:p>
      <w:pPr>
        <w:spacing w:before="0" w:after="0" w:line="408" w:lineRule="exact"/>
        <w:ind w:left="0" w:right="0" w:firstLine="576"/>
        <w:jc w:val="left"/>
      </w:pPr>
      <w:r>
        <w:rPr/>
        <w:t xml:space="preserve">(23)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0" w:after="0" w:line="408" w:lineRule="exact"/>
        <w:ind w:left="0" w:right="0" w:firstLine="576"/>
        <w:jc w:val="left"/>
      </w:pPr>
      <w:r>
        <w:rPr>
          <w:u w:val="single"/>
        </w:rPr>
        <w:t xml:space="preserve">(24) "Volunteer guardian ad litem coordinator" means an employee of a guardian ad litem program who has the responsibility to train, monitor, coach, supervise, and review reports for volunteer guardians ad litem.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102</w:t>
      </w:r>
      <w:r>
        <w:rPr/>
        <w:t xml:space="preserve"> and 2005 c 282 s 26 are each amended to read as follows:</w:t>
      </w:r>
    </w:p>
    <w:p>
      <w:pPr>
        <w:spacing w:before="0" w:after="0" w:line="408" w:lineRule="exact"/>
        <w:ind w:left="0" w:right="0" w:firstLine="576"/>
        <w:jc w:val="left"/>
      </w:pPr>
      <w:r>
        <w:rPr/>
        <w:t xml:space="preserve">(1) All guardians ad litem must comply with the training requirements established under RCW 2.56.030(15), prior to their appointment in cases under Title 13 RCW, except that volunteer guardians ad litem or court-appointed special advocates may comply with alternative training requirements approved by the administrative office of the courts that meet or exceed the statewide requirements.</w:t>
      </w:r>
    </w:p>
    <w:p>
      <w:pPr>
        <w:spacing w:before="0" w:after="0" w:line="408" w:lineRule="exact"/>
        <w:ind w:left="0" w:right="0" w:firstLine="576"/>
        <w:jc w:val="left"/>
      </w:pPr>
      <w:r>
        <w:rPr/>
        <w:t xml:space="preserve">(2)(a) Each guardian ad litem program for compensated guardians ad litem shall establish a rotational registry system for the appointment of guardians ad litem. If a judicial district does not have a program the court shall establish the rotational registry system. Guardians ad litem shall be selected from the registry except in exceptional circumstances as determined and documented by the court. The parties may make a joint recommendation for the appointment of a guardian ad litem from the registry.</w:t>
      </w:r>
    </w:p>
    <w:p>
      <w:pPr>
        <w:spacing w:before="0" w:after="0" w:line="408" w:lineRule="exact"/>
        <w:ind w:left="0" w:right="0" w:firstLine="576"/>
        <w:jc w:val="left"/>
      </w:pPr>
      <w:r>
        <w:rPr/>
        <w:t xml:space="preserve">(b) In judicial districts with a population over one hundred thousand, a list of three names shall be selected from the registry and given to the parties along with the background information as specified in RCW 13.34.100(3), including their hourly rate for services. Each party may, within three judicial days, strike one name from the list. If more than one name remains on the list, the court shall make the appointment from the names on the list. In the event all three names are stricken the person whose name appears next on the registry shall be appointed.</w:t>
      </w:r>
    </w:p>
    <w:p>
      <w:pPr>
        <w:spacing w:before="0" w:after="0" w:line="408" w:lineRule="exact"/>
        <w:ind w:left="0" w:right="0" w:firstLine="576"/>
        <w:jc w:val="left"/>
      </w:pPr>
      <w:r>
        <w:rPr/>
        <w:t xml:space="preserve">(c) If a party reasonably believes that the appointed guardian ad litem lacks the necessary expertise for the proceeding, charges an hourly rate higher than what is reasonable for the particular proceeding, or has a conflict of interest, the party may, within three judicial days from the appointment, move for substitution of the appointed guardian ad litem by filing a motion with the court.</w:t>
      </w:r>
    </w:p>
    <w:p>
      <w:pPr>
        <w:spacing w:before="0" w:after="0" w:line="408" w:lineRule="exact"/>
        <w:ind w:left="0" w:right="0" w:firstLine="576"/>
        <w:jc w:val="left"/>
      </w:pPr>
      <w:r>
        <w:rPr/>
        <w:t xml:space="preserve">(d) The superior court shall remove any person from the guardian ad litem registry who misrepresents his or her qualifications pursuant to a grievance procedure established by the court.</w:t>
      </w:r>
    </w:p>
    <w:p>
      <w:pPr>
        <w:spacing w:before="0" w:after="0" w:line="408" w:lineRule="exact"/>
        <w:ind w:left="0" w:right="0" w:firstLine="576"/>
        <w:jc w:val="left"/>
      </w:pPr>
      <w:r>
        <w:rPr/>
        <w:t xml:space="preserve">(3) The rotational registry system shall not apply to court-appointed special advocate programs.</w:t>
      </w:r>
    </w:p>
    <w:p>
      <w:pPr>
        <w:spacing w:before="0" w:after="0" w:line="408" w:lineRule="exact"/>
        <w:ind w:left="0" w:right="0" w:firstLine="576"/>
        <w:jc w:val="left"/>
      </w:pPr>
      <w:r>
        <w:rPr>
          <w:u w:val="single"/>
        </w:rPr>
        <w:t xml:space="preserve">(4) Every guardian ad litem program with volunteer guardian ad litem coordinators shall ensure that those volunteer guardian ad litem coordinators supervise no more than thirty volunteer guardians ad litem, subject to funds appropriated for this specific purpose.</w:t>
      </w:r>
    </w:p>
    <w:p>
      <w:pPr>
        <w:spacing w:before="0" w:after="0" w:line="408" w:lineRule="exact"/>
        <w:ind w:left="0" w:right="0" w:firstLine="576"/>
        <w:jc w:val="left"/>
      </w:pPr>
      <w:r>
        <w:rPr>
          <w:u w:val="single"/>
        </w:rPr>
        <w:t xml:space="preserve">(5) In addition to existing training requirements, guardian ad litem programs must provide additional training to any volunteer guardian ad litem coordinators to include the appropriate screening of volunteer guardian ad litem reports before those reports are submitted to the court to ensure that those reports are based on objective information that is within the expertise of the volunteer guardian ad litem.</w:t>
      </w:r>
    </w:p>
    <w:p/>
    <w:p>
      <w:pPr>
        <w:jc w:val="center"/>
      </w:pPr>
      <w:r>
        <w:rPr>
          <w:b/>
        </w:rPr>
        <w:t>--- END ---</w:t>
      </w:r>
    </w:p>
    <w:sectPr>
      <w:pgNumType w:start="1"/>
      <w:footerReference xmlns:r="http://schemas.openxmlformats.org/officeDocument/2006/relationships" r:id="R2647025cac3d497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ba015da0924690" /><Relationship Type="http://schemas.openxmlformats.org/officeDocument/2006/relationships/footer" Target="/word/footer.xml" Id="R2647025cac3d497f" /></Relationships>
</file>