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9d2f3ec82543c9" /></Relationships>
</file>

<file path=word/document.xml><?xml version="1.0" encoding="utf-8"?>
<w:document xmlns:w="http://schemas.openxmlformats.org/wordprocessingml/2006/main">
  <w:body>
    <w:p>
      <w:r>
        <w:t>H-1892.1</w:t>
      </w:r>
    </w:p>
    <w:p>
      <w:pPr>
        <w:jc w:val="center"/>
      </w:pPr>
      <w:r>
        <w:t>_______________________________________________</w:t>
      </w:r>
    </w:p>
    <w:p/>
    <w:p>
      <w:pPr>
        <w:jc w:val="center"/>
      </w:pPr>
      <w:r>
        <w:rPr>
          <w:b/>
        </w:rPr>
        <w:t>SUBSTITUTE HOUSE BILL 1618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Education (originally sponsored by Representatives Ortiz-Self, Harris, Santos, Johnson, Bergquist, and Kagi)</w:t>
      </w:r>
    </w:p>
    <w:p/>
    <w:p>
      <w:r>
        <w:rPr>
          <w:t xml:space="preserve">READ FIRST TIME 02/16/17.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family and community engagement coordinators; amending RCW 28A.150.260 and 28A.165.035; adding a new section to chapter 28A.150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A statewide family and community engagement effort will only be as valuable as its underlying mission and vision. The mission and vision must focus on equity, broadly defined, to honor both the requirements of the federal every student succeeds act of 2015 and the spirit that drives Washington state's commitment to innovation and diversity;</w:t>
      </w:r>
    </w:p>
    <w:p>
      <w:pPr>
        <w:spacing w:before="0" w:after="0" w:line="408" w:lineRule="exact"/>
        <w:ind w:left="0" w:right="0" w:firstLine="576"/>
        <w:jc w:val="left"/>
      </w:pPr>
      <w:r>
        <w:rPr/>
        <w:t xml:space="preserve">(2) The mission and vision of family and community engagement should be carried out by a family and community engagement coordinator within each school building or school district;</w:t>
      </w:r>
    </w:p>
    <w:p>
      <w:pPr>
        <w:spacing w:before="0" w:after="0" w:line="408" w:lineRule="exact"/>
        <w:ind w:left="0" w:right="0" w:firstLine="576"/>
        <w:jc w:val="left"/>
      </w:pPr>
      <w:r>
        <w:rPr/>
        <w:t xml:space="preserve">(3) In order to be more inclusive of the diversity of families within the state and the importance of communities in supporting students and families, the title of the position variously referred to in state statute as "family engagement coordinator," "parent and family engagement coordinator," and "parent involvement coordinator" should consistently be titled "family and community engagement coordinator";</w:t>
      </w:r>
    </w:p>
    <w:p>
      <w:pPr>
        <w:spacing w:before="0" w:after="0" w:line="408" w:lineRule="exact"/>
        <w:ind w:left="0" w:right="0" w:firstLine="576"/>
        <w:jc w:val="left"/>
      </w:pPr>
      <w:r>
        <w:rPr/>
        <w:t xml:space="preserve">(4) Family and community engagement coordinators should seek input from students' families and the local community. The families that advise the coordinators should reflect the local school building, school district, and community, in terms of demographics and geography, but also in lived experience. Families should be offered many modes and opportunities to provide input. Community-based organizations are invaluable school partners for providing feedback from families and for providing services to students and families; and</w:t>
      </w:r>
    </w:p>
    <w:p>
      <w:pPr>
        <w:spacing w:before="0" w:after="0" w:line="408" w:lineRule="exact"/>
        <w:ind w:left="0" w:right="0" w:firstLine="576"/>
        <w:jc w:val="left"/>
      </w:pPr>
      <w:r>
        <w:rPr/>
        <w:t xml:space="preserve">(5) Currently, the state provides funding for "parent involvement coordinators" but does not mandate that the funds be spent on this staff position or on family and community engagement related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(1) A family and community engagement coordinator within a school building or school district has, at a minimum, the following duties:</w:t>
      </w:r>
    </w:p>
    <w:p>
      <w:pPr>
        <w:spacing w:before="0" w:after="0" w:line="408" w:lineRule="exact"/>
        <w:ind w:left="0" w:right="0" w:firstLine="576"/>
        <w:jc w:val="left"/>
      </w:pPr>
      <w:r>
        <w:rPr/>
        <w:t xml:space="preserve">(a) To identify and bridge barriers to students' and families' access to needed services;</w:t>
      </w:r>
    </w:p>
    <w:p>
      <w:pPr>
        <w:spacing w:before="0" w:after="0" w:line="408" w:lineRule="exact"/>
        <w:ind w:left="0" w:right="0" w:firstLine="576"/>
        <w:jc w:val="left"/>
      </w:pPr>
      <w:r>
        <w:rPr/>
        <w:t xml:space="preserve">(b) To consult with an advisory group of students' families, who reflect the demographic diversity within the school building or school district, concerning, among other things, how to support students and families in a culturally responsive manner; and</w:t>
      </w:r>
    </w:p>
    <w:p>
      <w:pPr>
        <w:spacing w:before="0" w:after="0" w:line="408" w:lineRule="exact"/>
        <w:ind w:left="0" w:right="0" w:firstLine="576"/>
        <w:jc w:val="left"/>
      </w:pPr>
      <w:r>
        <w:rPr/>
        <w:t xml:space="preserve">(c) To partner with community-based organizations to increase resources for family and community engagement, including academic and nonacademic services and programs for students and families.</w:t>
      </w:r>
    </w:p>
    <w:p>
      <w:pPr>
        <w:spacing w:before="0" w:after="0" w:line="408" w:lineRule="exact"/>
        <w:ind w:left="0" w:right="0" w:firstLine="576"/>
        <w:jc w:val="left"/>
      </w:pPr>
      <w:r>
        <w:rPr/>
        <w:t xml:space="preserve">(2) Funding allocated to school districts for family and community engagement coordinators in RCW 28A.150.260 or the omnibus appropriations act may be used only for family and community engagement purposes, including the duties specified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2014 c 217 s 206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 The distribution formula under this section shall be for allocation purposes only. Except as may be required under chapter 28A.155, 28A.165, 28A.180, or 28A.185 RCW, </w:t>
      </w:r>
      <w:r>
        <w:rPr>
          <w:u w:val="single"/>
        </w:rPr>
        <w:t xml:space="preserve">or section 2 of this act,</w:t>
      </w:r>
      <w:r>
        <w:rPr/>
        <w:t xml:space="preserve">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25.23</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 During the 2011-2013 biennium and beginning with schools with the highest percentage of students eligible for free and reduced-price meals in the prior school year, the general education average class size for grades K-3 shall be reduced until the average class size funded under this subsection (4) is no more than 17.0 full-time equivalent students per teacher beginning in the 2017-18 school year.</w:t>
      </w:r>
    </w:p>
    <w:p>
      <w:pPr>
        <w:spacing w:before="0" w:after="0" w:line="408" w:lineRule="exact"/>
        <w:ind w:left="0" w:right="0" w:firstLine="576"/>
        <w:jc w:val="left"/>
      </w:pPr>
      <w:r>
        <w:rPr/>
        <w:t xml:space="preserve">(c)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26.57</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22.76</w:t>
      </w:r>
    </w:p>
    <w:p>
      <w:pPr>
        <w:spacing w:before="12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Borders>
              <w:top w:val="single"/>
            </w:tcBorders>
          </w:tcPr>
          <w:p>
            <w:pPr>
              <w:spacing w:before="0" w:after="0" w:line="408" w:lineRule="exact"/>
              <w:ind w:left="0" w:right="0" w:firstLine="0"/>
              <w:jc w:val="left"/>
            </w:pPr>
          </w:p>
        </w:tc>
        <w:tc>
          <w:tcPr>
            <w:tcW w:w="1320" w:type="dxa"/>
            <w:vAlign w:val="top"/>
            <w:tcBorders>
              <w:top w:val="single"/>
            </w:tcBorders>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Borders>
              <w:top w:val="single"/>
            </w:tcBorders>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Borders>
              <w:top w:val="single"/>
            </w:tcBorders>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Teacher librarians, a function that includes information literacy, technology, and media to support school library media programs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School nurses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0.076</w:t>
            </w:r>
          </w:p>
        </w:tc>
        <w:tc>
          <w:tcPr>
            <w:tcW w:w="1160" w:type="dxa"/>
            <w:vAlign w:val="top"/>
          </w:tcPr>
          <w:p>
            <w:pPr>
              <w:spacing w:before="0" w:after="0" w:line="408" w:lineRule="exact"/>
              <w:ind w:left="0" w:right="0" w:firstLine="0"/>
              <w:jc w:val="left"/>
            </w:pPr>
            <w:r>
              <w:rPr>
                <w:rFonts w:ascii="Times New Roman" w:hAnsi="Times New Roman"/>
                <w:sz w:val="20"/>
              </w:rPr>
              <w:t xml:space="preserve">0.060</w:t>
            </w:r>
          </w:p>
        </w:tc>
        <w:tc>
          <w:tcPr>
            <w:tcW w:w="1160" w:type="dxa"/>
            <w:vAlign w:val="top"/>
          </w:tcPr>
          <w:p>
            <w:pPr>
              <w:spacing w:before="0" w:after="0" w:line="408" w:lineRule="exact"/>
              <w:ind w:left="0" w:right="0" w:firstLine="0"/>
              <w:jc w:val="left"/>
            </w:pPr>
            <w:r>
              <w:rPr>
                <w:rFonts w:ascii="Times New Roman" w:hAnsi="Times New Roman"/>
                <w:sz w:val="20"/>
              </w:rPr>
              <w:t xml:space="preserve">0.096</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Social workers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0.042</w:t>
            </w:r>
          </w:p>
        </w:tc>
        <w:tc>
          <w:tcPr>
            <w:tcW w:w="1160" w:type="dxa"/>
            <w:vAlign w:val="top"/>
          </w:tcPr>
          <w:p>
            <w:pPr>
              <w:spacing w:before="0" w:after="0" w:line="408" w:lineRule="exact"/>
              <w:ind w:left="0" w:right="0" w:firstLine="0"/>
              <w:jc w:val="left"/>
            </w:pPr>
            <w:r>
              <w:rPr>
                <w:rFonts w:ascii="Times New Roman" w:hAnsi="Times New Roman"/>
                <w:sz w:val="20"/>
              </w:rPr>
              <w:t xml:space="preserve">0.006</w:t>
            </w:r>
          </w:p>
        </w:tc>
        <w:tc>
          <w:tcPr>
            <w:tcW w:w="1160" w:type="dxa"/>
            <w:vAlign w:val="top"/>
          </w:tcPr>
          <w:p>
            <w:pPr>
              <w:spacing w:before="0" w:after="0" w:line="408" w:lineRule="exact"/>
              <w:ind w:left="0" w:right="0" w:firstLine="0"/>
              <w:jc w:val="left"/>
            </w:pPr>
            <w:r>
              <w:rPr>
                <w:rFonts w:ascii="Times New Roman" w:hAnsi="Times New Roman"/>
                <w:sz w:val="20"/>
              </w:rPr>
              <w:t xml:space="preserve">0.015</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Psychologists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0.017</w:t>
            </w:r>
          </w:p>
        </w:tc>
        <w:tc>
          <w:tcPr>
            <w:tcW w:w="1160" w:type="dxa"/>
            <w:vAlign w:val="top"/>
          </w:tcPr>
          <w:p>
            <w:pPr>
              <w:spacing w:before="0" w:after="0" w:line="408" w:lineRule="exact"/>
              <w:ind w:left="0" w:right="0" w:firstLine="0"/>
              <w:jc w:val="left"/>
            </w:pPr>
            <w:r>
              <w:rPr>
                <w:rFonts w:ascii="Times New Roman" w:hAnsi="Times New Roman"/>
                <w:sz w:val="20"/>
              </w:rPr>
              <w:t xml:space="preserve">0.002</w:t>
            </w:r>
          </w:p>
        </w:tc>
        <w:tc>
          <w:tcPr>
            <w:tcW w:w="1160" w:type="dxa"/>
            <w:vAlign w:val="top"/>
          </w:tcPr>
          <w:p>
            <w:pPr>
              <w:spacing w:before="0" w:after="0" w:line="408" w:lineRule="exact"/>
              <w:ind w:left="0" w:right="0" w:firstLine="0"/>
              <w:jc w:val="left"/>
            </w:pPr>
            <w:r>
              <w:rPr>
                <w:rFonts w:ascii="Times New Roman" w:hAnsi="Times New Roman"/>
                <w:sz w:val="20"/>
              </w:rPr>
              <w:t xml:space="preserve">0.007</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Guidance counselors, a function that includes parent outreach and graduation advising</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0.493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1.116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2.539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Office support and other noninstructional aides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2.012</w:t>
            </w:r>
          </w:p>
        </w:tc>
        <w:tc>
          <w:tcPr>
            <w:tcW w:w="1160" w:type="dxa"/>
            <w:vAlign w:val="top"/>
          </w:tcPr>
          <w:p>
            <w:pPr>
              <w:spacing w:before="0" w:after="0" w:line="408" w:lineRule="exact"/>
              <w:ind w:left="0" w:right="0" w:firstLine="0"/>
              <w:jc w:val="left"/>
            </w:pPr>
            <w:r>
              <w:rPr>
                <w:rFonts w:ascii="Times New Roman" w:hAnsi="Times New Roman"/>
                <w:sz w:val="20"/>
              </w:rPr>
              <w:t xml:space="preserve">2.325</w:t>
            </w:r>
          </w:p>
        </w:tc>
        <w:tc>
          <w:tcPr>
            <w:tcW w:w="1160" w:type="dxa"/>
            <w:vAlign w:val="top"/>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Custodians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1.657</w:t>
            </w:r>
          </w:p>
        </w:tc>
        <w:tc>
          <w:tcPr>
            <w:tcW w:w="1160" w:type="dxa"/>
            <w:vAlign w:val="top"/>
          </w:tcPr>
          <w:p>
            <w:pPr>
              <w:spacing w:before="0" w:after="0" w:line="408" w:lineRule="exact"/>
              <w:ind w:left="0" w:right="0" w:firstLine="0"/>
              <w:jc w:val="left"/>
            </w:pPr>
            <w:r>
              <w:rPr>
                <w:rFonts w:ascii="Times New Roman" w:hAnsi="Times New Roman"/>
                <w:sz w:val="20"/>
              </w:rPr>
              <w:t xml:space="preserve">1.942</w:t>
            </w:r>
          </w:p>
        </w:tc>
        <w:tc>
          <w:tcPr>
            <w:tcW w:w="1160" w:type="dxa"/>
            <w:vAlign w:val="top"/>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Classified staff providing student and staff safety</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0.079</w:t>
            </w:r>
          </w:p>
        </w:tc>
        <w:tc>
          <w:tcPr>
            <w:tcW w:w="1160" w:type="dxa"/>
            <w:vAlign w:val="top"/>
          </w:tcPr>
          <w:p>
            <w:pPr>
              <w:spacing w:before="0" w:after="0" w:line="408" w:lineRule="exact"/>
              <w:ind w:left="0" w:right="0" w:firstLine="0"/>
              <w:jc w:val="left"/>
            </w:pPr>
            <w:r>
              <w:rPr>
                <w:rFonts w:ascii="Times New Roman" w:hAnsi="Times New Roman"/>
                <w:sz w:val="20"/>
              </w:rPr>
              <w:t xml:space="preserve">0.092</w:t>
            </w:r>
          </w:p>
        </w:tc>
        <w:tc>
          <w:tcPr>
            <w:tcW w:w="1160" w:type="dxa"/>
            <w:vAlign w:val="top"/>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Borders>
              <w:bottom w:val="single"/>
            </w:tcBorders>
          </w:tcPr>
          <w:p>
            <w:pPr>
              <w:tabs>
                <w:tab w:val="right" w:leader="dot" w:pos="6508"/>
              </w:tabs>
              <w:spacing w:before="0" w:after="0" w:line="408" w:lineRule="exact"/>
              <w:ind w:left="0" w:right="0" w:firstLine="0"/>
              <w:jc w:val="left"/>
            </w:pPr>
            <w:r>
              <w:t>((</w:t>
            </w:r>
            <w:r>
              <w:rPr>
                <w:rFonts w:ascii="Times New Roman" w:hAnsi="Times New Roman"/>
                <w:strike/>
                <w:sz w:val="20"/>
              </w:rPr>
              <w:t xml:space="preserve">Parent involvement</w:t>
            </w:r>
            <w:r>
              <w:t>))</w:t>
            </w:r>
            <w:r>
              <w:rPr>
                <w:rFonts w:ascii="Times New Roman" w:hAnsi="Times New Roman"/>
                <w:sz w:val="20"/>
              </w:rPr>
              <w:t xml:space="preserve"> </w:t>
            </w:r>
            <w:r>
              <w:rPr>
                <w:rFonts w:ascii="Times New Roman" w:hAnsi="Times New Roman"/>
                <w:sz w:val="20"/>
                <w:u w:val="single"/>
              </w:rPr>
              <w:t xml:space="preserve">Family and community engagement</w:t>
            </w:r>
            <w:r>
              <w:rPr>
                <w:rFonts w:ascii="Times New Roman" w:hAnsi="Times New Roman"/>
                <w:sz w:val="20"/>
              </w:rPr>
              <w:t xml:space="preserve"> coordinators</w:t>
            </w:r>
            <w:r>
              <w:tab/>
            </w:r>
          </w:p>
        </w:tc>
        <w:tc>
          <w:tcPr>
            <w:tcW w:w="1320" w:type="dxa"/>
            <w:vAlign w:val="top"/>
            <w:tcBorders>
              <w:bottom w:val="single"/>
            </w:tcBorders>
          </w:tcPr>
          <w:p>
            <w:pPr>
              <w:spacing w:before="0" w:after="0" w:line="408" w:lineRule="exact"/>
              <w:ind w:left="0" w:right="0" w:firstLine="0"/>
              <w:jc w:val="left"/>
            </w:pPr>
            <w:r>
              <w:rPr>
                <w:rFonts w:ascii="Times New Roman" w:hAnsi="Times New Roman"/>
                <w:sz w:val="20"/>
              </w:rPr>
              <w:t xml:space="preserve">0.00</w:t>
            </w:r>
          </w:p>
        </w:tc>
        <w:tc>
          <w:tcPr>
            <w:tcW w:w="1160" w:type="dxa"/>
            <w:vAlign w:val="top"/>
            <w:tcBorders>
              <w:bottom w:val="single"/>
            </w:tcBorders>
          </w:tcPr>
          <w:p>
            <w:pPr>
              <w:spacing w:before="0" w:after="0" w:line="408" w:lineRule="exact"/>
              <w:ind w:left="0" w:right="0" w:firstLine="0"/>
              <w:jc w:val="left"/>
            </w:pPr>
            <w:r>
              <w:rPr>
                <w:rFonts w:ascii="Times New Roman" w:hAnsi="Times New Roman"/>
                <w:sz w:val="20"/>
              </w:rPr>
              <w:t xml:space="preserve">0.00</w:t>
            </w:r>
          </w:p>
        </w:tc>
        <w:tc>
          <w:tcPr>
            <w:tcW w:w="1160" w:type="dxa"/>
            <w:vAlign w:val="top"/>
            <w:tcBorders>
              <w:bottom w:val="single"/>
            </w:tcBorders>
          </w:tcPr>
          <w:p>
            <w:pPr>
              <w:spacing w:before="0" w:after="0" w:line="408" w:lineRule="exact"/>
              <w:ind w:left="0" w:right="0" w:firstLine="0"/>
              <w:jc w:val="left"/>
            </w:pPr>
            <w:r>
              <w:rPr>
                <w:rFonts w:ascii="Times New Roman" w:hAnsi="Times New Roman"/>
                <w:sz w:val="20"/>
              </w:rPr>
              <w:t xml:space="preserve">0.00</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(b)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and (c) of this subsection, the minimum allocation for each school district shall include allocations per annual average full-time equivalent student for the following materials, supplies, and operating costs, to be adjusted for inflation from the 2008-09 school year: </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$54.43</w:t>
      </w:r>
    </w:p>
    <w:p>
      <w:pPr>
        <w:spacing w:before="0" w:after="0" w:line="408" w:lineRule="exact"/>
        <w:ind w:left="0" w:right="0" w:firstLine="0"/>
        <w:jc w:val="left"/>
        <w:tabs>
          <w:tab w:val="right" w:leader="dot" w:pos="9936"/>
        </w:tabs>
      </w:pPr>
      <w:r>
        <w:rPr/>
        <w:t xml:space="preserve">Utilities and insurance</w:t>
      </w:r>
      <w:r>
        <w:tab/>
      </w:r>
      <w:r>
        <w:rPr/>
        <w:t xml:space="preserve">$147.90</w:t>
      </w:r>
    </w:p>
    <w:p>
      <w:pPr>
        <w:spacing w:before="0" w:after="0" w:line="408" w:lineRule="exact"/>
        <w:ind w:left="0" w:right="0" w:firstLine="0"/>
        <w:jc w:val="left"/>
        <w:tabs>
          <w:tab w:val="right" w:leader="dot" w:pos="9936"/>
        </w:tabs>
      </w:pPr>
      <w:r>
        <w:rPr/>
        <w:t xml:space="preserve">Curriculum and textbooks</w:t>
      </w:r>
      <w:r>
        <w:tab/>
      </w:r>
      <w:r>
        <w:rPr/>
        <w:t xml:space="preserve">$58.44</w:t>
      </w:r>
    </w:p>
    <w:p>
      <w:pPr>
        <w:spacing w:before="0" w:after="0" w:line="408" w:lineRule="exact"/>
        <w:ind w:left="0" w:right="0" w:firstLine="0"/>
        <w:jc w:val="left"/>
        <w:tabs>
          <w:tab w:val="right" w:leader="dot" w:pos="9936"/>
        </w:tabs>
      </w:pPr>
      <w:r>
        <w:rPr/>
        <w:t xml:space="preserve">Other supplies and library materials</w:t>
      </w:r>
      <w:r>
        <w:tab/>
      </w:r>
      <w:r>
        <w:rPr/>
        <w:t xml:space="preserve">$124.07</w:t>
      </w:r>
    </w:p>
    <w:p>
      <w:pPr>
        <w:spacing w:before="0" w:after="0" w:line="408" w:lineRule="exact"/>
        <w:ind w:left="0" w:right="0" w:firstLine="0"/>
        <w:jc w:val="left"/>
      </w:pPr>
      <w:r>
        <w:rPr/>
        <w:t xml:space="preserve">Instructional professional development for certified and</w:t>
      </w:r>
    </w:p>
    <w:p>
      <w:pPr>
        <w:spacing w:before="0" w:after="0" w:line="408" w:lineRule="exact"/>
        <w:ind w:left="0" w:right="0" w:firstLine="0"/>
        <w:jc w:val="left"/>
        <w:tabs>
          <w:tab w:val="right" w:leader="dot" w:pos="9936"/>
        </w:tabs>
      </w:pPr>
      <w:r>
        <w:rPr/>
        <w:t xml:space="preserve">classified staff</w:t>
      </w:r>
      <w:r>
        <w:tab/>
      </w:r>
      <w:r>
        <w:rPr/>
        <w:t xml:space="preserve">$9.04</w:t>
      </w:r>
    </w:p>
    <w:p>
      <w:pPr>
        <w:spacing w:before="0" w:after="0" w:line="408" w:lineRule="exact"/>
        <w:ind w:left="0" w:right="0" w:firstLine="0"/>
        <w:jc w:val="left"/>
        <w:tabs>
          <w:tab w:val="right" w:leader="dot" w:pos="9936"/>
        </w:tabs>
      </w:pPr>
      <w:r>
        <w:rPr/>
        <w:t xml:space="preserve">Facilities maintenance</w:t>
      </w:r>
      <w:r>
        <w:tab/>
      </w:r>
      <w:r>
        <w:rPr/>
        <w:t xml:space="preserve">$73.27</w:t>
      </w:r>
    </w:p>
    <w:p>
      <w:pPr>
        <w:spacing w:before="0" w:after="0" w:line="408" w:lineRule="exact"/>
        <w:ind w:left="0" w:right="0" w:firstLine="0"/>
        <w:jc w:val="left"/>
        <w:tabs>
          <w:tab w:val="right" w:leader="dot" w:pos="9936"/>
        </w:tabs>
      </w:pPr>
      <w:r>
        <w:rPr/>
        <w:t xml:space="preserve">Security and central office</w:t>
      </w:r>
      <w:r>
        <w:tab/>
      </w:r>
      <w:r>
        <w:rPr/>
        <w:t xml:space="preserve">$50.76</w:t>
      </w:r>
    </w:p>
    <w:p>
      <w:pPr>
        <w:spacing w:before="120" w:after="0" w:line="408" w:lineRule="exact"/>
        <w:ind w:left="0" w:right="0" w:firstLine="576"/>
        <w:jc w:val="left"/>
      </w:pPr>
      <w:r>
        <w:rPr/>
        <w:t xml:space="preserve">(b) During the 2011-2013 biennium, the minimum allocation for maintenance, supplies, and operating costs shall be increased as specified in the omnibus appropriations act. The following allocations, adjusted for inflation from the 2007-08 school year, are provided in the 2015-16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$113.80</w:t>
      </w:r>
    </w:p>
    <w:p>
      <w:pPr>
        <w:spacing w:before="0" w:after="0" w:line="408" w:lineRule="exact"/>
        <w:ind w:left="0" w:right="0" w:firstLine="0"/>
        <w:jc w:val="left"/>
        <w:tabs>
          <w:tab w:val="right" w:leader="dot" w:pos="9936"/>
        </w:tabs>
      </w:pPr>
      <w:r>
        <w:rPr/>
        <w:t xml:space="preserve">Utilities and insurance</w:t>
      </w:r>
      <w:r>
        <w:tab/>
      </w:r>
      <w:r>
        <w:rPr/>
        <w:t xml:space="preserve">$309.21</w:t>
      </w:r>
    </w:p>
    <w:p>
      <w:pPr>
        <w:spacing w:before="0" w:after="0" w:line="408" w:lineRule="exact"/>
        <w:ind w:left="0" w:right="0" w:firstLine="0"/>
        <w:jc w:val="left"/>
        <w:tabs>
          <w:tab w:val="right" w:leader="dot" w:pos="9936"/>
        </w:tabs>
      </w:pPr>
      <w:r>
        <w:rPr/>
        <w:t xml:space="preserve">Curriculum and textbooks</w:t>
      </w:r>
      <w:r>
        <w:tab/>
      </w:r>
      <w:r>
        <w:rPr/>
        <w:t xml:space="preserve">$122.17</w:t>
      </w:r>
    </w:p>
    <w:p>
      <w:pPr>
        <w:spacing w:before="0" w:after="0" w:line="408" w:lineRule="exact"/>
        <w:ind w:left="0" w:right="0" w:firstLine="0"/>
        <w:jc w:val="left"/>
        <w:tabs>
          <w:tab w:val="right" w:leader="dot" w:pos="9936"/>
        </w:tabs>
      </w:pPr>
      <w:r>
        <w:rPr/>
        <w:t xml:space="preserve">Other supplies and library materials</w:t>
      </w:r>
      <w:r>
        <w:tab/>
      </w:r>
      <w:r>
        <w:rPr/>
        <w:t xml:space="preserve">$259.39</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$18.89</w:t>
      </w:r>
    </w:p>
    <w:p>
      <w:pPr>
        <w:spacing w:before="0" w:after="0" w:line="408" w:lineRule="exact"/>
        <w:ind w:left="0" w:right="0" w:firstLine="0"/>
        <w:jc w:val="left"/>
        <w:tabs>
          <w:tab w:val="right" w:leader="dot" w:pos="9936"/>
        </w:tabs>
      </w:pPr>
      <w:r>
        <w:rPr/>
        <w:t xml:space="preserve">Facilities maintenance</w:t>
      </w:r>
      <w:r>
        <w:tab/>
      </w:r>
      <w:r>
        <w:rPr/>
        <w:t xml:space="preserve">$153.18</w:t>
      </w:r>
    </w:p>
    <w:p>
      <w:pPr>
        <w:spacing w:before="0" w:after="0" w:line="408" w:lineRule="exact"/>
        <w:ind w:left="0" w:right="0" w:firstLine="0"/>
        <w:jc w:val="left"/>
        <w:tabs>
          <w:tab w:val="right" w:leader="dot" w:pos="9936"/>
        </w:tabs>
      </w:pPr>
      <w:r>
        <w:rPr/>
        <w:t xml:space="preserve">Security and central office administration</w:t>
      </w:r>
      <w:r>
        <w:tab/>
      </w:r>
      <w:r>
        <w:rPr/>
        <w:t xml:space="preserve">$106.12</w:t>
      </w:r>
    </w:p>
    <w:p>
      <w:pPr>
        <w:spacing w:before="120" w:after="0" w:line="408" w:lineRule="exact"/>
        <w:ind w:left="0" w:right="0" w:firstLine="576"/>
        <w:jc w:val="left"/>
      </w:pPr>
      <w:r>
        <w:rPr/>
        <w:t xml:space="preserve">(c) In addition to the amounts provided in (a) and (b)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and library materials</w:t>
      </w:r>
      <w:r>
        <w:tab/>
      </w:r>
      <w:r>
        <w:rPr/>
        <w:t xml:space="preserve">$82.84</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 To provide supplemental instruction and services for underachieving students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1.5156 hours per week in extra instruction with a class size of fifteen learning assistance program students per teacher.</w:t>
      </w:r>
    </w:p>
    <w:p>
      <w:pPr>
        <w:spacing w:before="0" w:after="0" w:line="408" w:lineRule="exact"/>
        <w:ind w:left="0" w:right="0" w:firstLine="576"/>
        <w:jc w:val="left"/>
      </w:pPr>
      <w:r>
        <w:rPr/>
        <w:t xml:space="preserve">(b)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two and three hundred fourteen one-thousandths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and (b),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035</w:t>
      </w:r>
      <w:r>
        <w:rPr/>
        <w:t xml:space="preserve"> and 2016 c 72 s 803 are each amended to read as follows:</w:t>
      </w:r>
    </w:p>
    <w:p>
      <w:pPr>
        <w:spacing w:before="0" w:after="0" w:line="408" w:lineRule="exact"/>
        <w:ind w:left="0" w:right="0" w:firstLine="576"/>
        <w:jc w:val="left"/>
      </w:pPr>
      <w:r>
        <w:rPr/>
        <w:t xml:space="preserve">(1) Use of best practices that have been demonstrated through research to be associated with increased student achievement magnifies the opportunities for student success. To the extent they are included as a best practice or strategy in one of the state menus or an approved alternative under this section or RCW 28A.655.235, the following are services and activities that may be supported by the learning assistance program:</w:t>
      </w:r>
    </w:p>
    <w:p>
      <w:pPr>
        <w:spacing w:before="0" w:after="0" w:line="408" w:lineRule="exact"/>
        <w:ind w:left="0" w:right="0" w:firstLine="576"/>
        <w:jc w:val="left"/>
      </w:pPr>
      <w:r>
        <w:rPr/>
        <w:t xml:space="preserve">(a) Extended learning time opportunities occurring:</w:t>
      </w:r>
    </w:p>
    <w:p>
      <w:pPr>
        <w:spacing w:before="0" w:after="0" w:line="408" w:lineRule="exact"/>
        <w:ind w:left="0" w:right="0" w:firstLine="576"/>
        <w:jc w:val="left"/>
      </w:pPr>
      <w:r>
        <w:rPr/>
        <w:t xml:space="preserve">(i) Before or after the regular school day;</w:t>
      </w:r>
    </w:p>
    <w:p>
      <w:pPr>
        <w:spacing w:before="0" w:after="0" w:line="408" w:lineRule="exact"/>
        <w:ind w:left="0" w:right="0" w:firstLine="576"/>
        <w:jc w:val="left"/>
      </w:pPr>
      <w:r>
        <w:rPr/>
        <w:t xml:space="preserve">(ii) On Saturday; and</w:t>
      </w:r>
    </w:p>
    <w:p>
      <w:pPr>
        <w:spacing w:before="0" w:after="0" w:line="408" w:lineRule="exact"/>
        <w:ind w:left="0" w:right="0" w:firstLine="576"/>
        <w:jc w:val="left"/>
      </w:pPr>
      <w:r>
        <w:rPr/>
        <w:t xml:space="preserve">(iii) Beyond the regular school year;</w:t>
      </w:r>
    </w:p>
    <w:p>
      <w:pPr>
        <w:spacing w:before="0" w:after="0" w:line="408" w:lineRule="exact"/>
        <w:ind w:left="0" w:right="0" w:firstLine="576"/>
        <w:jc w:val="left"/>
      </w:pPr>
      <w:r>
        <w:rPr/>
        <w:t xml:space="preserve">(b) Services under RCW 28A.320.190;</w:t>
      </w:r>
    </w:p>
    <w:p>
      <w:pPr>
        <w:spacing w:before="0" w:after="0" w:line="408" w:lineRule="exact"/>
        <w:ind w:left="0" w:right="0" w:firstLine="576"/>
        <w:jc w:val="left"/>
      </w:pPr>
      <w:r>
        <w:rPr/>
        <w:t xml:space="preserve">(c) Professional development for certificated and classified staff that focuses on:</w:t>
      </w:r>
    </w:p>
    <w:p>
      <w:pPr>
        <w:spacing w:before="0" w:after="0" w:line="408" w:lineRule="exact"/>
        <w:ind w:left="0" w:right="0" w:firstLine="576"/>
        <w:jc w:val="left"/>
      </w:pPr>
      <w:r>
        <w:rPr/>
        <w:t xml:space="preserve">(i) The needs of a diverse student population;</w:t>
      </w:r>
    </w:p>
    <w:p>
      <w:pPr>
        <w:spacing w:before="0" w:after="0" w:line="408" w:lineRule="exact"/>
        <w:ind w:left="0" w:right="0" w:firstLine="576"/>
        <w:jc w:val="left"/>
      </w:pPr>
      <w:r>
        <w:rPr/>
        <w:t xml:space="preserve">(ii) Specific literacy and mathematics content and instructional strategies; and</w:t>
      </w:r>
    </w:p>
    <w:p>
      <w:pPr>
        <w:spacing w:before="0" w:after="0" w:line="408" w:lineRule="exact"/>
        <w:ind w:left="0" w:right="0" w:firstLine="576"/>
        <w:jc w:val="left"/>
      </w:pPr>
      <w:r>
        <w:rPr/>
        <w:t xml:space="preserve">(iii) The use of student work to guide effective instruction and appropriate assistance;</w:t>
      </w:r>
    </w:p>
    <w:p>
      <w:pPr>
        <w:spacing w:before="0" w:after="0" w:line="408" w:lineRule="exact"/>
        <w:ind w:left="0" w:right="0" w:firstLine="576"/>
        <w:jc w:val="left"/>
      </w:pPr>
      <w:r>
        <w:rPr/>
        <w:t xml:space="preserve">(d) Consultant teachers to assist in implementing effective instructional practices by teachers serving participating students;</w:t>
      </w:r>
    </w:p>
    <w:p>
      <w:pPr>
        <w:spacing w:before="0" w:after="0" w:line="408" w:lineRule="exact"/>
        <w:ind w:left="0" w:right="0" w:firstLine="576"/>
        <w:jc w:val="left"/>
      </w:pPr>
      <w:r>
        <w:rPr/>
        <w:t xml:space="preserve">(e) Tutoring support for participating students;</w:t>
      </w:r>
    </w:p>
    <w:p>
      <w:pPr>
        <w:spacing w:before="0" w:after="0" w:line="408" w:lineRule="exact"/>
        <w:ind w:left="0" w:right="0" w:firstLine="576"/>
        <w:jc w:val="left"/>
      </w:pPr>
      <w:r>
        <w:rPr/>
        <w:t xml:space="preserve">(f) Outreach activities and support for parents of participating students, including employing </w:t>
      </w:r>
      <w:r>
        <w:t>((</w:t>
      </w:r>
      <w:r>
        <w:rPr>
          <w:strike/>
        </w:rPr>
        <w:t xml:space="preserve">parent and</w:t>
      </w:r>
      <w:r>
        <w:t>))</w:t>
      </w:r>
      <w:r>
        <w:rPr/>
        <w:t xml:space="preserve"> family </w:t>
      </w:r>
      <w:r>
        <w:rPr>
          <w:u w:val="single"/>
        </w:rPr>
        <w:t xml:space="preserve">and community</w:t>
      </w:r>
      <w:r>
        <w:rPr/>
        <w:t xml:space="preserve"> engagement coordinators; and</w:t>
      </w:r>
    </w:p>
    <w:p>
      <w:pPr>
        <w:spacing w:before="0" w:after="0" w:line="408" w:lineRule="exact"/>
        <w:ind w:left="0" w:right="0" w:firstLine="576"/>
        <w:jc w:val="left"/>
      </w:pPr>
      <w:r>
        <w:rPr/>
        <w:t xml:space="preserve">(g) Up to five percent of a district's learning assistance program allocation may be used for development of partnerships with community-based organizations, educational service districts, and other local agencies to deliver academic and nonacademic supports to participating students who are significantly at risk of not being successful in school to reduce barriers to learning, increase student engagement, and enhance students' readiness to learn. The school board must approve in an open meeting any community-based organization or local agency before learning assistance funds may be expended.</w:t>
      </w:r>
    </w:p>
    <w:p>
      <w:pPr>
        <w:spacing w:before="0" w:after="0" w:line="408" w:lineRule="exact"/>
        <w:ind w:left="0" w:right="0" w:firstLine="576"/>
        <w:jc w:val="left"/>
      </w:pPr>
      <w:r>
        <w:rPr/>
        <w:t xml:space="preserve">(2) In addition to the state menu developed under RCW 28A.655.235, the office of the superintendent of public instruction shall convene a panel of experts, including the Washington state institute for public policy, to develop additional state menus of best practices and strategies for use in the learning assistance program to assist struggling students at all grade levels in English language arts and mathematics and reduce disruptive behaviors in the classroom. The office of the superintendent of public instruction shall publish the state menus by July 1, 2015, and update the state menus by each July 1st thereafter.</w:t>
      </w:r>
    </w:p>
    <w:p>
      <w:pPr>
        <w:spacing w:before="0" w:after="0" w:line="408" w:lineRule="exact"/>
        <w:ind w:left="0" w:right="0" w:firstLine="576"/>
        <w:jc w:val="left"/>
      </w:pPr>
      <w:r>
        <w:rPr/>
        <w:t xml:space="preserve">(3)(a) Beginning in the 2016-17 school year, except as provided in (b) of this subsection, school districts must use a practice or strategy that is on a state menu developed under subsection (2) of this section or RCW 28A.655.235.</w:t>
      </w:r>
    </w:p>
    <w:p>
      <w:pPr>
        <w:spacing w:before="0" w:after="0" w:line="408" w:lineRule="exact"/>
        <w:ind w:left="0" w:right="0" w:firstLine="576"/>
        <w:jc w:val="left"/>
      </w:pPr>
      <w:r>
        <w:rPr/>
        <w:t xml:space="preserve">(b) Beginning in the 2016-17 school year, school districts may use a practice or strategy that is not on a state menu developed under subsection (2) of this section for two school years initially. If the district is able to demonstrate improved outcomes for participating students over the previous two school years at a level commensurate with the best practices and strategies on the state menu, the office of the superintendent of public instruction shall approve use of the alternative practice or strategy by the district for one additional school year. Subsequent annual approval by the superintendent of public instruction to use the alternative practice or strategy is dependent on the district continuing to demonstrate increased improved outcomes for participating students.</w:t>
      </w:r>
    </w:p>
    <w:p>
      <w:pPr>
        <w:spacing w:before="0" w:after="0" w:line="408" w:lineRule="exact"/>
        <w:ind w:left="0" w:right="0" w:firstLine="576"/>
        <w:jc w:val="left"/>
      </w:pPr>
      <w:r>
        <w:rPr/>
        <w:t xml:space="preserve">(c) Beginning in the 2016-17 school year, school districts may enter cooperative agreements with state agencies, local governments, or school districts for administrative or operational costs needed to provide services in accordance with the state menus developed under this section and RCW 28A.655.235.</w:t>
      </w:r>
    </w:p>
    <w:p>
      <w:pPr>
        <w:spacing w:before="0" w:after="0" w:line="408" w:lineRule="exact"/>
        <w:ind w:left="0" w:right="0" w:firstLine="576"/>
        <w:jc w:val="left"/>
      </w:pPr>
      <w:r>
        <w:rPr/>
        <w:t xml:space="preserve">(4) School districts are encouraged to implement best practices and strategies from the state menus developed under this section and RCW 28A.655.235 before the use is required.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September 1, 2017.</w:t>
      </w:r>
    </w:p>
    <w:p/>
    <w:p>
      <w:pPr>
        <w:jc w:val="center"/>
      </w:pPr>
      <w:r>
        <w:rPr>
          <w:b/>
        </w:rPr>
        <w:t>--- END ---</w:t>
      </w:r>
    </w:p>
    <w:sectPr>
      <w:pgNumType w:start="1"/>
      <w:footerReference xmlns:r="http://schemas.openxmlformats.org/officeDocument/2006/relationships" r:id="Rd21e1d310e4a41e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9afafc0b9a49bd" /><Relationship Type="http://schemas.openxmlformats.org/officeDocument/2006/relationships/footer" Target="/word/footer.xml" Id="Rd21e1d310e4a41e0" /></Relationships>
</file>