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353fe1b22d41fd" /></Relationships>
</file>

<file path=word/document.xml><?xml version="1.0" encoding="utf-8"?>
<w:document xmlns:w="http://schemas.openxmlformats.org/wordprocessingml/2006/main">
  <w:body>
    <w:p>
      <w:r>
        <w:t>H-2171.1</w:t>
      </w:r>
    </w:p>
    <w:p>
      <w:pPr>
        <w:jc w:val="center"/>
      </w:pPr>
      <w:r>
        <w:t>_______________________________________________</w:t>
      </w:r>
    </w:p>
    <w:p/>
    <w:p>
      <w:pPr>
        <w:jc w:val="center"/>
      </w:pPr>
      <w:r>
        <w:rPr>
          <w:b/>
        </w:rPr>
        <w:t>SECOND SUBSTITUTE HOUSE BILL 1661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43.215.100,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70.02.230, 74.04.060, and 74.34.063; reenacting and amending RCW 42.17A.705, 43.215.010, 43.215.215, 42.56.230, 43.43.832, 13.34.030, 13.36.020, 13.50.010, 13.36.020, 13.04.030, 13.40.020, and 13.40.280; adding a new section to chapter 43.06A RCW;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43.215.040, and 44.04.220;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One of the purposes of this act is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(4) Research is clear that quality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(5)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(6)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(7)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 embodied by the Centennial Accord.</w:t>
      </w:r>
    </w:p>
    <w:p>
      <w:pPr>
        <w:spacing w:before="0" w:after="0" w:line="408" w:lineRule="exact"/>
        <w:ind w:left="0" w:right="0" w:firstLine="576"/>
        <w:jc w:val="left"/>
      </w:pPr>
      <w:r>
        <w:rPr/>
        <w:t xml:space="preserve">(8)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(9)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(10) The legislature finds that the work of the department of children, youth, and families will only be as successful as its workforce—both the agency employees and community-based vendors. Increased support for the professionals working with children, youth, and families is critical to improving outcomes.</w:t>
      </w:r>
    </w:p>
    <w:p>
      <w:pPr>
        <w:spacing w:before="0" w:after="0" w:line="408" w:lineRule="exact"/>
        <w:ind w:left="0" w:right="0" w:firstLine="576"/>
        <w:jc w:val="left"/>
      </w:pPr>
      <w:r>
        <w:rPr/>
        <w:t xml:space="preserve">(11)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The department shall partner with the federally recognized Indian tribes in Washington and the federally recognized Indian tribes that are signatories to the Centennial Accord to develop effective services for youth and families while respecting the sovereignty of those tribes and the government-to-government relationship embodied by the Centennial Accord. Nothing in chapter . . ., Laws of 2017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and progress toward these goals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 quality standard; and (C) increasing the available supply of licensed child care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and (F) increasing the stability of placements for children in out-of-home care;</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 and</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w:t>
      </w:r>
    </w:p>
    <w:p>
      <w:pPr>
        <w:spacing w:before="0" w:after="0" w:line="408" w:lineRule="exact"/>
        <w:ind w:left="0" w:right="0" w:firstLine="576"/>
        <w:jc w:val="left"/>
      </w:pPr>
      <w:r>
        <w:rPr/>
        <w:t xml:space="preserve">(5) The department is accountable to the public. To ensure transparency, agency performance data for the services provided by the department, including outcome data for contracted services, must be available to the public, consistent with protecting the confidentiality of the individuals. Publicly available data must include budget and funding decisions and performance data on metrics identified in this section. This data must be readily accessible on the department's web site. The department shall ensure that all new and renewed contracts for services are performance-based.</w:t>
      </w:r>
    </w:p>
    <w:p>
      <w:pPr>
        <w:spacing w:before="0" w:after="0" w:line="408" w:lineRule="exact"/>
        <w:ind w:left="0" w:right="0" w:firstLine="576"/>
        <w:jc w:val="left"/>
      </w:pPr>
      <w:r>
        <w:rPr/>
        <w:t xml:space="preserve"> (6)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office of the governor. The secretary of the office shall be appointed by the governor within thirty days of this act being signed by the governor and shall serve at the pleasure of the governor. The secretary of the office is the executive head and appointing authority of the office. The secretary shall be paid a salary to be fixed by the governor in accordance with RCW 43.03.040. If a vacancy occurs in the position of secretary, the governor shall fill the vacancy. The secretary of the office of innovation, alignment, and accountability shall transition into the role of secretary of the department of children, youth, and families when the office of innovation, alignment, and accountability makes that transition pursuant to section 104 of this act.</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Convening research institutions, including university-based research institutions, the education data center, the department of social and health services' research and data analysis office, the Washington state institute for public policy, tribal research entities,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The office must make recommendations regarding both the stakeholder advisory system and external review protocol. The office must ensure that parents and families of color are consulted regarding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w:t>
      </w:r>
    </w:p>
    <w:p>
      <w:pPr>
        <w:spacing w:before="0" w:after="0" w:line="408" w:lineRule="exact"/>
        <w:ind w:left="0" w:right="0" w:firstLine="576"/>
        <w:jc w:val="left"/>
      </w:pPr>
      <w:r>
        <w:rPr/>
        <w:t xml:space="preserve">(3) The reports and plans in this section must be delivered to the governor and the appropriate committees of the legislature by November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2018, the office of innovation, alignment, and accountability is transitioned from the office of the governor to be an office within the department. The office shall have a director who shall set the agenda and oversee the office, reporting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that includes representatives from a philanthropic organization, research entity representatives, representatives from the business community, one or more parent representatives, youth representatives, and tribal representatives,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 and</w:t>
      </w:r>
    </w:p>
    <w:p>
      <w:pPr>
        <w:spacing w:before="0" w:after="0" w:line="408" w:lineRule="exact"/>
        <w:ind w:left="0" w:right="0" w:firstLine="576"/>
        <w:jc w:val="left"/>
      </w:pPr>
      <w:r>
        <w:rPr/>
        <w:t xml:space="preserve">(k) To provide a report to the governor and the appropriate committees of the legislature by November 1, 2019,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(1)(a) The oversight board shall begin its work and call the first meeting of the board on or after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oversight board for children, youth, and families shall consist of two senators and two representatives from the legislature with one member from each major caucus, one subject matter expert in early learning, one subject matter expert in child welfare, one subject matter expert in juvenile rehabilitation and justice, one tribal representative from the west of the crest of the Cascade mountains, one tribal representative from the east of the crest of the Cascade mountains, two parent stakeholder group representatives, one law enforcement representative, one child welfare caseworker representative,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appointed by the governor and serve four-year terms.</w:t>
      </w:r>
    </w:p>
    <w:p>
      <w:pPr>
        <w:spacing w:before="0" w:after="0" w:line="408" w:lineRule="exact"/>
        <w:ind w:left="0" w:right="0" w:firstLine="576"/>
        <w:jc w:val="left"/>
      </w:pPr>
      <w:r>
        <w:rPr/>
        <w:t xml:space="preserve">(3)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(h) Upon receipt of records or data from the family and children's ombuds or the department of children, youth, and families, the oversight board for children, youth, and families is subject to the same confidentiality restrictions as the family and children's ombuds is under RCW 43.06A.050.</w:t>
      </w:r>
    </w:p>
    <w:p>
      <w:pPr>
        <w:spacing w:before="0" w:after="0" w:line="408" w:lineRule="exact"/>
        <w:ind w:left="0" w:right="0" w:firstLine="576"/>
        <w:jc w:val="left"/>
      </w:pPr>
      <w:r>
        <w:rPr/>
        <w:t xml:space="preserve">(4)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(5)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(6)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(7) The oversight board for children, youth, and families is subject to the open public meetings act, chapter 42.30 RCW.</w:t>
      </w:r>
    </w:p>
    <w:p>
      <w:pPr>
        <w:spacing w:before="0" w:after="0" w:line="408" w:lineRule="exact"/>
        <w:ind w:left="0" w:right="0" w:firstLine="576"/>
        <w:jc w:val="left"/>
      </w:pPr>
      <w:r>
        <w:rPr/>
        <w:t xml:space="preserve">(8)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(9)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(10)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(11)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105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r>
        <w:t>))</w:t>
      </w:r>
      <w:r>
        <w:rPr/>
        <w:t xml:space="preserve"> </w:t>
      </w:r>
      <w:r>
        <w:rPr>
          <w:u w:val="single"/>
        </w:rPr>
        <w:t xml:space="preserve">Oversight board for children, youth, and families, section 105 of this act</w:t>
      </w:r>
      <w:r>
        <w:rPr/>
        <w:t xml:space="preserve">;</w:t>
      </w:r>
    </w:p>
    <w:p>
      <w:pPr>
        <w:spacing w:before="0" w:after="0" w:line="408" w:lineRule="exact"/>
        <w:ind w:left="0" w:right="0" w:firstLine="576"/>
        <w:jc w:val="left"/>
      </w:pPr>
      <w:r>
        <w:rPr/>
        <w:t xml:space="preserve">(v) Joint legislative audit and review committee, RCW 44.28.010;</w:t>
      </w:r>
    </w:p>
    <w:p>
      <w:pPr>
        <w:spacing w:before="0" w:after="0" w:line="408" w:lineRule="exact"/>
        <w:ind w:left="0" w:right="0" w:firstLine="576"/>
        <w:jc w:val="left"/>
      </w:pPr>
      <w:r>
        <w:rPr/>
        <w:t xml:space="preserve">(w) Joint committee on energy supply and energy conservation, RCW 44.39.015;</w:t>
      </w:r>
    </w:p>
    <w:p>
      <w:pPr>
        <w:spacing w:before="0" w:after="0" w:line="408" w:lineRule="exact"/>
        <w:ind w:left="0" w:right="0" w:firstLine="576"/>
        <w:jc w:val="left"/>
      </w:pPr>
      <w:r>
        <w:rPr/>
        <w:t xml:space="preserve">(x) Legislative evaluation and accountability program committee, RCW 44.48.010;</w:t>
      </w:r>
    </w:p>
    <w:p>
      <w:pPr>
        <w:spacing w:before="0" w:after="0" w:line="408" w:lineRule="exact"/>
        <w:ind w:left="0" w:right="0" w:firstLine="576"/>
        <w:jc w:val="left"/>
      </w:pPr>
      <w:r>
        <w:rPr/>
        <w:t xml:space="preserve">(y) Agency council on coordinated transportation, RCW 47.06B.020;</w:t>
      </w:r>
    </w:p>
    <w:p>
      <w:pPr>
        <w:spacing w:before="0" w:after="0" w:line="408" w:lineRule="exact"/>
        <w:ind w:left="0" w:right="0" w:firstLine="576"/>
        <w:jc w:val="left"/>
      </w:pPr>
      <w:r>
        <w:rPr/>
        <w:t xml:space="preserve">(z) Washington horse racing commission, RCW 67.16.014;</w:t>
      </w:r>
    </w:p>
    <w:p>
      <w:pPr>
        <w:spacing w:before="0" w:after="0" w:line="408" w:lineRule="exact"/>
        <w:ind w:left="0" w:right="0" w:firstLine="576"/>
        <w:jc w:val="left"/>
      </w:pPr>
      <w:r>
        <w:rPr/>
        <w:t xml:space="preserve">(aa) Correctional industries board of directors, RCW 72.09.080;</w:t>
      </w:r>
    </w:p>
    <w:p>
      <w:pPr>
        <w:spacing w:before="0" w:after="0" w:line="408" w:lineRule="exact"/>
        <w:ind w:left="0" w:right="0" w:firstLine="576"/>
        <w:jc w:val="left"/>
      </w:pPr>
      <w:r>
        <w:rPr/>
        <w:t xml:space="preserve">(bb) Joint committee on veterans' and military affairs, RCW 73.04.150;</w:t>
      </w:r>
    </w:p>
    <w:p>
      <w:pPr>
        <w:spacing w:before="0" w:after="0" w:line="408" w:lineRule="exact"/>
        <w:ind w:left="0" w:right="0" w:firstLine="576"/>
        <w:jc w:val="left"/>
      </w:pPr>
      <w:r>
        <w:rPr/>
        <w:t xml:space="preserve">(cc) Joint legislative committee on water supply during drought, RCW 90.86.020;</w:t>
      </w:r>
    </w:p>
    <w:p>
      <w:pPr>
        <w:spacing w:before="0" w:after="0" w:line="408" w:lineRule="exact"/>
        <w:ind w:left="0" w:right="0" w:firstLine="576"/>
        <w:jc w:val="left"/>
      </w:pPr>
      <w:r>
        <w:rPr/>
        <w:t xml:space="preserve">(dd) Statute law committee, RCW 1.08.001; and</w:t>
      </w:r>
    </w:p>
    <w:p>
      <w:pPr>
        <w:spacing w:before="0" w:after="0" w:line="408" w:lineRule="exact"/>
        <w:ind w:left="0" w:right="0" w:firstLine="576"/>
        <w:jc w:val="left"/>
      </w:pPr>
      <w:r>
        <w:rPr/>
        <w:t xml:space="preserve">(ee)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 and</w:t>
      </w:r>
    </w:p>
    <w:p>
      <w:pPr>
        <w:spacing w:before="0" w:after="0" w:line="408" w:lineRule="exact"/>
        <w:ind w:left="0" w:right="0" w:firstLine="576"/>
        <w:jc w:val="left"/>
      </w:pPr>
      <w:r>
        <w:t>(4)</w:t>
      </w:r>
      <w:r>
        <w:rPr/>
        <w:t xml:space="preserve">RCW </w:t>
      </w:r>
      <w:r>
        <w:t xml:space="preserve">44</w:t>
      </w:r>
      <w:r>
        <w:rPr/>
        <w:t xml:space="preserve">.</w:t>
      </w:r>
      <w:r>
        <w:t xml:space="preserve">04</w:t>
      </w:r>
      <w:r>
        <w:rPr/>
        <w:t xml:space="preserve">.</w:t>
      </w:r>
      <w:r>
        <w:t xml:space="preserve">220</w:t>
      </w:r>
      <w:r>
        <w:rPr/>
        <w:t xml:space="preserve"> (Legislative children's oversight committee) and 2013 c 23 s 100 &amp; 1996 c 131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821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107 through 109,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thirty days after the governor signs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114, 201 through 227, 301 through 337, 401 through 419, 501 through 513, and 801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and 701 through 728 of this act take effect July 1, 2019.</w:t>
      </w:r>
    </w:p>
    <w:p/>
    <w:p>
      <w:pPr>
        <w:jc w:val="center"/>
      </w:pPr>
      <w:r>
        <w:rPr>
          <w:b/>
        </w:rPr>
        <w:t>--- END ---</w:t>
      </w:r>
    </w:p>
    <w:sectPr>
      <w:pgNumType w:start="1"/>
      <w:footerReference xmlns:r="http://schemas.openxmlformats.org/officeDocument/2006/relationships" r:id="R993f22c299af44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359f28cba4917" /><Relationship Type="http://schemas.openxmlformats.org/officeDocument/2006/relationships/footer" Target="/word/footer.xml" Id="R993f22c299af4487" /></Relationships>
</file>