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350f11125b47ef" /></Relationships>
</file>

<file path=word/document.xml><?xml version="1.0" encoding="utf-8"?>
<w:document xmlns:w="http://schemas.openxmlformats.org/wordprocessingml/2006/main">
  <w:body>
    <w:p>
      <w:r>
        <w:t>Z-0343.1</w:t>
      </w:r>
    </w:p>
    <w:p>
      <w:pPr>
        <w:jc w:val="center"/>
      </w:pPr>
      <w:r>
        <w:t>_______________________________________________</w:t>
      </w:r>
    </w:p>
    <w:p/>
    <w:p>
      <w:pPr>
        <w:jc w:val="center"/>
      </w:pPr>
      <w:r>
        <w:rPr>
          <w:b/>
        </w:rPr>
        <w:t>HOUSE BILL 1684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Santos, Harris, and Muri; by request of Superintendent of Public Instruction</w:t>
      </w:r>
    </w:p>
    <w:p/>
    <w:p>
      <w:r>
        <w:rPr>
          <w:t xml:space="preserve">Read first time 01/26/17.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innovation in supplemental contracts report to the legislature; and amending RCW 28A.400.200.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2010 c 235 s 401 are each amended to read as follows: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Salaries for certificated instructional staff shall not be less than the salary provided in the appropriations act in the statewide salary allocation schedule for an employee with a baccalaureate degree and zero years of service; and</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w:t>
      </w:r>
    </w:p>
    <w:p>
      <w:pPr>
        <w:spacing w:before="0" w:after="0" w:line="408" w:lineRule="exact"/>
        <w:ind w:left="0" w:right="0" w:firstLine="576"/>
        <w:jc w:val="left"/>
      </w:pPr>
      <w:r>
        <w:rPr/>
        <w:t xml:space="preserve">(3)(a)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(b) Fringe benefit contributions for certificated instructional staff shall be included as salary under (a) of this subsection only to the extent that the district's actual average benefit contribution exceeds the amount of the insurance benefits allocation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 Salaries and benefits for certificated instructional staff may exceed the limitations in subsection (3) of this section only by separate contract for additional time, for additional responsibilities, for incentives, or for implementing specific measurable innovative activities, including professional development, specified by the school district to: (a) Close one or more achievement gaps, (b) focus on development of science, technology, engineering, and mathematics (STEM) learning opportunities, or (c) provide arts education. Beginning September 1, 2011, school districts shall annually provide a brief description of the innovative activities included in any supplemental contract to the office of the superintendent of public instruction. </w:t>
      </w:r>
      <w:r>
        <w:t>((</w:t>
      </w:r>
      <w:r>
        <w:rPr>
          <w:strike/>
        </w:rPr>
        <w:t xml:space="preserve">The office of the superintendent of public instruction shall summarize the district information and submit an annual report to the education committees of the house of representatives and the senate.</w:t>
      </w:r>
      <w:r>
        <w:t>))</w:t>
      </w:r>
      <w:r>
        <w:rPr/>
        <w:t xml:space="preserve"> Supplemental contracts shall not cause the state to incur any present or future funding obligation.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3 of the state Constitution.</w:t>
      </w:r>
    </w:p>
    <w:p>
      <w:pPr>
        <w:spacing w:before="0" w:after="0" w:line="408" w:lineRule="exact"/>
        <w:ind w:left="0" w:right="0" w:firstLine="576"/>
        <w:jc w:val="left"/>
      </w:pPr>
      <w:r>
        <w:rPr/>
        <w:t xml:space="preserve">(5) Employee benefit plans offered by any district shall comply with RCW 28A.400.350 </w:t>
      </w:r>
      <w:r>
        <w:t>((</w:t>
      </w:r>
      <w:r>
        <w:rPr>
          <w:strike/>
        </w:rPr>
        <w:t xml:space="preserve">and</w:t>
      </w:r>
      <w:r>
        <w:t>))</w:t>
      </w:r>
      <w:r>
        <w:rPr>
          <w:u w:val="single"/>
        </w:rPr>
        <w:t xml:space="preserve">,</w:t>
      </w:r>
      <w:r>
        <w:rPr/>
        <w:t xml:space="preserve"> 28A.400.275</w:t>
      </w:r>
      <w:r>
        <w:rPr>
          <w:u w:val="single"/>
        </w:rPr>
        <w:t xml:space="preserve">,</w:t>
      </w:r>
      <w:r>
        <w:rPr/>
        <w:t xml:space="preserve"> and 28A.400.280.</w:t>
      </w:r>
    </w:p>
    <w:p/>
    <w:p>
      <w:pPr>
        <w:jc w:val="center"/>
      </w:pPr>
      <w:r>
        <w:rPr>
          <w:b/>
        </w:rPr>
        <w:t>--- END ---</w:t>
      </w:r>
    </w:p>
    <w:sectPr>
      <w:pgNumType w:start="1"/>
      <w:footerReference xmlns:r="http://schemas.openxmlformats.org/officeDocument/2006/relationships" r:id="R7ac4524c058f4e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50461fdde1490a" /><Relationship Type="http://schemas.openxmlformats.org/officeDocument/2006/relationships/footer" Target="/word/footer.xml" Id="R7ac4524c058f4e46" /></Relationships>
</file>