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072174bb64b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Doglio, Ryu, Pollet, Peterson, McBride, Wylie, Stonier, Goodman, Sawyer, Bergquist, Gregerson, Sullivan, Lytton, Tharinger, Chapman, Lovick, Senn, Hansen, Sells, Frame, Fitzgibbon, Riccelli, Macri, Jinkins, Dolan, Stanford, Orwall, Ortiz-Self, Farrell, Slatter, Tarleton, Clibborn, Fey, Kilduff, Reeves, Pettigrew, Appleton, Robinson, Blake, Ormsby, Pellicciotti, Kloba, Hudgins,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a new section to chapter 70.41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 </w:t>
      </w:r>
      <w:r>
        <w:rPr>
          <w:u w:val="single"/>
        </w:rPr>
        <w:t xml:space="preserve">and the chief executive officer must either identify those elements of the proposed plan being changed or prepare an alternate annual staffing plan that will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only after consultation with one or more impacted registered nurses providing direct patient care on the patient care unit or units utilizing procedures specified by the staffing committee. If a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 Follow the nursing personnel assignments as adopted by the hospital as evidenced by the aggregate data of concerns for either shift-to-shift adjustment or reports of variations not in accordance with the adopted staffing plan for the hospital. This must be evidenced by a minimum of a sixty-day period of aggregate complaint data filed under RCW 70.41.420(7) (a) and (b) and where the staffing committee has not determined the complaints resolved; except in the event of unforeseeable emergency circumstances or where the hospital, after consultation with the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The department shall investigate the complaint and, if the department determines that there has been a violation,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health care facility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hospitals in a community are diverting patients to other hospitals for treatment.</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NumType w:start="1"/>
      <w:footerReference xmlns:r="http://schemas.openxmlformats.org/officeDocument/2006/relationships" r:id="R3e3e54a9e5114c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f0235ced7c405f" /><Relationship Type="http://schemas.openxmlformats.org/officeDocument/2006/relationships/footer" Target="/word/footer.xml" Id="R3e3e54a9e5114c13" /></Relationships>
</file>