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e11db4e65439f" /></Relationships>
</file>

<file path=word/document.xml><?xml version="1.0" encoding="utf-8"?>
<w:document xmlns:w="http://schemas.openxmlformats.org/wordprocessingml/2006/main">
  <w:body>
    <w:p>
      <w:r>
        <w:t>H-1996.2</w:t>
      </w:r>
    </w:p>
    <w:p>
      <w:pPr>
        <w:jc w:val="center"/>
      </w:pPr>
      <w:r>
        <w:t>_______________________________________________</w:t>
      </w:r>
    </w:p>
    <w:p/>
    <w:p>
      <w:pPr>
        <w:jc w:val="center"/>
      </w:pPr>
      <w:r>
        <w:rPr>
          <w:b/>
        </w:rPr>
        <w:t>SUBSTITUTE HOUSE BILL 1731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Jinkins, Rodne, Senn, Stokesbary, and Tharinger)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firearms sales or transfers, but only with respect to clarifying that the term firearm does not include flare guns and construction tools, clarifying that the term transfer does not include transfers between an employer and employee for lawful purposes in the ordinary course of business, expanding the family member exemption to include loans and parents-in-law and siblings-in-law, providing an exemption for temporary transfers for the purpose of preventing suicide or self-inflicted great bodily harm, and providing an exemption for temporary transfers where the transferee and the firearm are in the presence of the transferor; and amending RCW 9.41.010 and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 </w:t>
      </w:r>
      <w:r>
        <w:rPr>
          <w:u w:val="single"/>
        </w:rPr>
        <w:t xml:space="preserve">"Firearm"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 </w:t>
      </w:r>
      <w:r>
        <w:rPr>
          <w:u w:val="single"/>
        </w:rPr>
        <w:t xml:space="preserve">"Transfer" does not include the delivery of a firearm owned or leased by an employer to, or return of such a firearm by, any of the employer's employees for lawful purposes in the ordinary course of business.</w:t>
      </w:r>
    </w:p>
    <w:p>
      <w:pPr>
        <w:spacing w:before="0" w:after="0" w:line="408" w:lineRule="exact"/>
        <w:ind w:left="0" w:right="0" w:firstLine="576"/>
        <w:jc w:val="left"/>
      </w:pPr>
      <w:r>
        <w:rPr/>
        <w:t xml:space="preserve">(26)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w:t>
      </w:r>
      <w:r>
        <w:t>((</w:t>
      </w:r>
      <w:r>
        <w:rPr>
          <w:strike/>
        </w:rPr>
        <w:t xml:space="preserve">or</w:t>
      </w:r>
      <w:r>
        <w:t>))</w:t>
      </w:r>
      <w:r>
        <w:rPr/>
        <w:t xml:space="preserve"> (v) </w:t>
      </w:r>
      <w:r>
        <w:rPr>
          <w:u w:val="single"/>
        </w:rPr>
        <w:t xml:space="preserve">under circumstances in which the transferee and the firearm remain in the presence of the transferor; or (vi)</w:t>
      </w:r>
      <w:r>
        <w:rPr/>
        <w:t xml:space="preserve">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023ab280638d40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0c0aa1fc641cc" /><Relationship Type="http://schemas.openxmlformats.org/officeDocument/2006/relationships/footer" Target="/word/footer.xml" Id="R023ab280638d40fb" /></Relationships>
</file>