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9f9e3bc0c485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Farrell, Stambaugh, Stokesbary, Fitzgibbon, Doglio, Stanford, and McBride</w:t>
      </w:r>
    </w:p>
    <w:p/>
    <w:p>
      <w:r>
        <w:rPr>
          <w:t xml:space="preserve">Read first time 01/30/17.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bicyclist safety advisory council; adding a new section to chapter 43.59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 transportation planner with a focus on multimodal planning;</w:t>
      </w:r>
    </w:p>
    <w:p>
      <w:pPr>
        <w:spacing w:before="0" w:after="0" w:line="408" w:lineRule="exact"/>
        <w:ind w:left="0" w:right="0" w:firstLine="576"/>
        <w:jc w:val="left"/>
      </w:pPr>
      <w:r>
        <w:rPr/>
        <w:t xml:space="preserve">(x) A public health official, researcher, or epidemiologist; and</w:t>
      </w:r>
    </w:p>
    <w:p>
      <w:pPr>
        <w:spacing w:before="0" w:after="0" w:line="408" w:lineRule="exact"/>
        <w:ind w:left="0" w:right="0" w:firstLine="576"/>
        <w:jc w:val="left"/>
      </w:pPr>
      <w:r>
        <w:rPr/>
        <w:t xml:space="preserve">(xi)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2020,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2019.</w:t>
      </w:r>
    </w:p>
    <w:p/>
    <w:p>
      <w:pPr>
        <w:jc w:val="center"/>
      </w:pPr>
      <w:r>
        <w:rPr>
          <w:b/>
        </w:rPr>
        <w:t>--- END ---</w:t>
      </w:r>
    </w:p>
    <w:sectPr>
      <w:pgNumType w:start="1"/>
      <w:footerReference xmlns:r="http://schemas.openxmlformats.org/officeDocument/2006/relationships" r:id="Rd45c61ff012446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5c9ad34be541f8" /><Relationship Type="http://schemas.openxmlformats.org/officeDocument/2006/relationships/footer" Target="/word/footer.xml" Id="Rd45c61ff01244683" /></Relationships>
</file>