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ac08d82c714544" /></Relationships>
</file>

<file path=word/document.xml><?xml version="1.0" encoding="utf-8"?>
<w:document xmlns:w="http://schemas.openxmlformats.org/wordprocessingml/2006/main">
  <w:body>
    <w:p>
      <w:r>
        <w:t>H-3589.2</w:t>
      </w:r>
    </w:p>
    <w:p>
      <w:pPr>
        <w:jc w:val="center"/>
      </w:pPr>
      <w:r>
        <w:t>_______________________________________________</w:t>
      </w:r>
    </w:p>
    <w:p/>
    <w:p>
      <w:pPr>
        <w:jc w:val="center"/>
      </w:pPr>
      <w:r>
        <w:rPr>
          <w:b/>
        </w:rPr>
        <w:t>SUBSTITUTE HOUSE BILL 1800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Gregerson, Hudgins, Ortiz-Self, Peterson, Orwall, Springer, Lovick, Sells, Stonier, Clibborn, Dolan, McBride, Ryu, Goodman, Macri, Senn, Cody, Hansen, Bergquist, Slatter, Frame, Sawyer, Kloba, Stanford, Pollet, Doglio, Robinson, Wylie, Kagi, Jinkins, Sullivan, Appleton, Fitzgibbon, Ormsby, Reeves, Morris, Tharinger, Fey, Pellicciotti, Pettigrew, Haler, Kilduff, and Farrell)</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and establishing a cause of action to redress lack of voter opportunity; amending RCW 36.32.020, 36.32.040, and 54.12.010; adding a new section to chapter 28A.343 RCW; adding a new section to chapter 35.21 RCW; adding a new section to chapter 35A.21 RCW; adding a new section to chapter 52.14 RCW; adding a new section to chapter 53.12 RCW; adding a new section to chapter 29A.76 RCW; and adding a new chapter to Title 29A RCW.</w:t>
      </w:r>
    </w:p>
    <w:p>
      <w:r>
        <w:t/>
      </w:r>
    </w:p>
    <w:p>
      <w:r>
        <w:t>BE IT ENACTED BY THE LEGISLATURE OF THE STATE OF WASHINGTON:</w:t>
      </w:r>
    </w:p>
    <w:p>
      <w:pPr>
        <w:spacing w:before="240" w:after="0" w:line="408" w:lineRule="exact"/>
        <w:ind w:left="0" w:right="0" w:firstLine="576"/>
        <w:jc w:val="center"/>
      </w:pP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the drawing of leaning and influence districts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to have an equal opportunity to elect candidates of their choice or an equal opportunity to influence the outcome of an election as a result of the dilution or abridgment of the rights of voters who are members of a protected class.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the adoption of its proposed plan, the political subdivision shall provide full and reasonable public notice of its actions. The political subdivision shall hold at least one public hearing on the proposed plan at least one week before adoption.</w:t>
      </w:r>
    </w:p>
    <w:p>
      <w:pPr>
        <w:spacing w:before="0" w:after="0" w:line="408" w:lineRule="exact"/>
        <w:ind w:left="0" w:right="0" w:firstLine="576"/>
        <w:jc w:val="left"/>
      </w:pPr>
      <w:r>
        <w:rPr/>
        <w:t xml:space="preserve">(a) Political subdivisions shall provide such notices and information in the languages of any community or area where a significant segment of the community speaks a language other than English and has limited proficiency in English.</w:t>
      </w:r>
    </w:p>
    <w:p>
      <w:pPr>
        <w:spacing w:before="0" w:after="0" w:line="408" w:lineRule="exact"/>
        <w:ind w:left="0" w:right="0" w:firstLine="576"/>
        <w:jc w:val="left"/>
      </w:pPr>
      <w:r>
        <w:rPr/>
        <w:t xml:space="preserve">(b) Political subdivisions must provide accurate written and verbal notices in the languages represented by their communities who speak a language other than English. Political subdivisions must air public service announcements by radio or television broadcast in the languages represented by their communities who speak a language other than English.</w:t>
      </w:r>
    </w:p>
    <w:p>
      <w:pPr>
        <w:spacing w:before="0" w:after="0" w:line="408" w:lineRule="exact"/>
        <w:ind w:left="0" w:right="0" w:firstLine="576"/>
        <w:jc w:val="left"/>
      </w:pPr>
      <w:r>
        <w:rPr/>
        <w:t xml:space="preserve">(c) "Significant segment," for purposes of this section, means five percent or more of residents, or five hundred residents, whichever is fewer, residing in the affected political subdivision who are of limited English proficiency.</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403 of this act.</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w:t>
      </w:r>
      <w:r>
        <w:rPr>
          <w:u w:val="single"/>
        </w:rPr>
        <w:t xml:space="preserve">, section 403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person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as a result of the dilution or abridgment of the rights of voters who are members of a protected class.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method of electing the governing body of a political subdivision may be imposed or applied in a manner that impairs the ability of members of a protected class to have an equal opportunity to elect candidates of their choice or an equal opportunity to influence the outcome of an election as a result of the dilution or abridgment of the rights of voters who are members of a protected class.</w:t>
      </w:r>
    </w:p>
    <w:p>
      <w:pPr>
        <w:spacing w:before="0" w:after="0" w:line="408" w:lineRule="exact"/>
        <w:ind w:left="0" w:right="0" w:firstLine="576"/>
        <w:jc w:val="left"/>
      </w:pPr>
      <w:r>
        <w:rPr/>
        <w:t xml:space="preserve">(2) A political subdivision is in violation of this act when it is shown that elections in the political subdivision exhibit polarized voting that dilutes or abridges the right to vote.</w:t>
      </w:r>
    </w:p>
    <w:p>
      <w:pPr>
        <w:spacing w:before="0" w:after="0" w:line="408" w:lineRule="exact"/>
        <w:ind w:left="0" w:right="0" w:firstLine="576"/>
        <w:jc w:val="left"/>
      </w:pPr>
      <w:r>
        <w:rPr/>
        <w:t xml:space="preserve">(3) The fact that members of a protected class are not geographically compact or concentrated shall not preclude a finding of a violation under this act, but may be a factor in determining a remedy.</w:t>
      </w:r>
    </w:p>
    <w:p>
      <w:pPr>
        <w:spacing w:before="0" w:after="0" w:line="408" w:lineRule="exact"/>
        <w:ind w:left="0" w:right="0" w:firstLine="576"/>
        <w:jc w:val="left"/>
      </w:pPr>
      <w:r>
        <w:rPr/>
        <w:t xml:space="preserve">(4)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One circumstance that may be considered in determining a violation of this act is the extent to which candidates who are members of a protected class and who are preferred by voters of the protected class, as determined by an analysis of voting behavior, have been elected to the governing body of a political subdivision that is the subject of an action. Elections conducted prior to the filing of an action pursuant to this act are more probative to establish the existence of racially polarized voting than elections conducted after the filing of an action.</w:t>
      </w:r>
    </w:p>
    <w:p>
      <w:pPr>
        <w:spacing w:before="0" w:after="0" w:line="408" w:lineRule="exact"/>
        <w:ind w:left="0" w:right="0" w:firstLine="576"/>
        <w:jc w:val="left"/>
      </w:pPr>
      <w:r>
        <w:rPr/>
        <w:t xml:space="preserve">(5)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 or influence the outcome of an election.</w:t>
      </w:r>
    </w:p>
    <w:p>
      <w:pPr>
        <w:spacing w:before="0" w:after="0" w:line="408" w:lineRule="exact"/>
        <w:ind w:left="0" w:right="0" w:firstLine="576"/>
        <w:jc w:val="left"/>
      </w:pPr>
      <w:r>
        <w:rPr/>
        <w:t xml:space="preserve">(6)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(7) Other factors such as the history of discrimination, the use of electoral devices or other voting practices or procedures that may enhance the dilutive effects of the election system,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(2) If the political subdivision adopts a remedy after receiving notice, the political subdivision shall seek a court order acknowledging that the political subdivision's remedy is reasonably necessary to avoid a violation of section 104 of this act, and shall notify the person who submitted the notice about the attempt to obtain a court order.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is reasonably necessary to avoid a violation of section 104 of this act, an action under this act may not be brought against that political subdivision for four years by any party so long as the political subdivision does not enact a change to or deviation from the remedy during this four-year period.</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 Any interested party may oppose any such stipulation with leave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within one hundred eighty days after receiving a person's notice, a political subdivision receives any other notice containing a materially different proposed remedy than the first notice, no action may be filed under this act within two hundred seventy days after receiving the initial notice. However, if the first notice is received after July 1, 2021, then the political subdivision shall have one hundred eighty days to obtain a court order before an action may be filed. All notices shall be made public promptly.</w:t>
      </w:r>
    </w:p>
    <w:p>
      <w:pPr>
        <w:spacing w:before="0" w:after="0" w:line="408" w:lineRule="exact"/>
        <w:ind w:left="0" w:right="0" w:firstLine="576"/>
        <w:jc w:val="left"/>
      </w:pPr>
      <w:r>
        <w:rPr/>
        <w:t xml:space="preserve">(3)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section 104 of this act.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(4) If the court concludes that the political subdivision's remedy is reasonably necessary to avoid a violation of section 104 of this act, an action under this act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their combined voting preferences as a group are different from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or classes an equal opportunity to elect candidates of their choice or an equal opportunity to influence the outcome of an election.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subsequent redistricting plan, political subdivisions may use population data regarding political parties or racial, ethnic, or language groups only to the extent necessary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301 through 501, and 503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b4a2de65451e49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53c6298ff4f87" /><Relationship Type="http://schemas.openxmlformats.org/officeDocument/2006/relationships/footer" Target="/word/footer.xml" Id="Rb4a2de65451e49a4" /></Relationships>
</file>