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612f42ae54653" /></Relationships>
</file>

<file path=word/document.xml><?xml version="1.0" encoding="utf-8"?>
<w:document xmlns:w="http://schemas.openxmlformats.org/wordprocessingml/2006/main">
  <w:body>
    <w:p>
      <w:r>
        <w:t>H-1290.1</w:t>
      </w:r>
    </w:p>
    <w:p>
      <w:pPr>
        <w:jc w:val="center"/>
      </w:pPr>
      <w:r>
        <w:t>_______________________________________________</w:t>
      </w:r>
    </w:p>
    <w:p/>
    <w:p>
      <w:pPr>
        <w:jc w:val="center"/>
      </w:pPr>
      <w:r>
        <w:rPr>
          <w:b/>
        </w:rPr>
        <w:t>HOUSE BILL 1805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Farrell, McBride, Peterson, Stanford, Goodman, Fitzgibbon, Bergquist, Macri, Doglio, Hudgins, Reeves, Ormsby, Frame, Jinkins, and Pollet</w:t>
      </w:r>
    </w:p>
    <w:p/>
    <w:p>
      <w:r>
        <w:rPr>
          <w:t xml:space="preserve">Read first time 01/30/17.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beginning to address the issue of contaminated drinking water stemming from the lead content in drinking water infrastructure, including pipes, connections, and fixtures; reenacting and amending RCW 43.155.050; and adding a new section to chapter 70.119A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(1)(a) By July 1, 2020, each public water system must fully replace all lead service lines located at or connecting to a school or an early childhood program. The public water system must bear the cost associated with the replacement required under this section, regardless of ownership of any portion of the service line. The public water system must perform lead service line replacements in coordination with the relevant local government, school district, and school or early childhood program.</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(2)(a) By July 1, 2030, each public water system must fully replace all lead service lines located within its service area. The public water system must bear the cost associated with the replacement required under this section, regardless of ownership of any portion of the service line. The public water system must perform lead service line replacements in coordination with the relevant local government.</w:t>
      </w:r>
    </w:p>
    <w:p>
      <w:pPr>
        <w:spacing w:before="0" w:after="0" w:line="408" w:lineRule="exact"/>
        <w:ind w:left="0" w:right="0" w:firstLine="576"/>
        <w:jc w:val="left"/>
      </w:pPr>
      <w:r>
        <w:rPr/>
        <w:t xml:space="preserve">(b) No later than sixty days after completing the replacement of all lead service lines consistent with (a) of this subsection, a public water system must submit a report to the department certifying the public water system's compliance with (a) of this subsection and identifying the service lines and connections that were replaced.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"Early childhood program" means any child care facility or preschool including, but not limited to, a child day care center as defined in RCW 43.215.010, a family day care provider as defined in RCW 43.215.010, or any education program for children three to five years old who have not yet entered kindergarten.</w:t>
      </w:r>
    </w:p>
    <w:p>
      <w:pPr>
        <w:spacing w:before="0" w:after="0" w:line="408" w:lineRule="exact"/>
        <w:ind w:left="0" w:right="0" w:firstLine="576"/>
        <w:jc w:val="left"/>
      </w:pPr>
      <w:r>
        <w:rPr/>
        <w:t xml:space="preserve">(b) "Lead service line" means a pipe and its fittings, or both, that:</w:t>
      </w:r>
    </w:p>
    <w:p>
      <w:pPr>
        <w:spacing w:before="0" w:after="0" w:line="408" w:lineRule="exact"/>
        <w:ind w:left="0" w:right="0" w:firstLine="576"/>
        <w:jc w:val="left"/>
      </w:pPr>
      <w:r>
        <w:rPr/>
        <w:t xml:space="preserve">(i) Connect a drinking water main to a building inlet; and</w:t>
      </w:r>
    </w:p>
    <w:p>
      <w:pPr>
        <w:spacing w:before="0" w:after="0" w:line="408" w:lineRule="exact"/>
        <w:ind w:left="0" w:right="0" w:firstLine="576"/>
        <w:jc w:val="left"/>
      </w:pPr>
      <w:r>
        <w:rPr/>
        <w:t xml:space="preserve">(ii) Are not lead free as determined using a calculation consistent with the requirements of 42 U.S.C. Sec. 300g-6(d)(2), as of the effective date of this section.</w:t>
      </w:r>
    </w:p>
    <w:p>
      <w:pPr>
        <w:spacing w:before="0" w:after="0" w:line="408" w:lineRule="exact"/>
        <w:ind w:left="0" w:right="0" w:firstLine="576"/>
        <w:jc w:val="left"/>
      </w:pPr>
      <w:r>
        <w:rPr/>
        <w:t xml:space="preserve">(c) "School" means a public school as defined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w:t>
      </w:r>
      <w:r>
        <w:t>((</w:t>
      </w:r>
      <w:r>
        <w:rPr>
          <w:strike/>
        </w:rPr>
        <w:t xml:space="preserve">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 </w:t>
      </w:r>
      <w:r>
        <w:rPr>
          <w:u w:val="single"/>
        </w:rPr>
        <w:t xml:space="preserve">Beginning August 1, 2017, money in the public works assistance account may be used to support the activities required in section 1 of this act.</w:t>
      </w:r>
    </w:p>
    <w:p/>
    <w:p>
      <w:pPr>
        <w:jc w:val="center"/>
      </w:pPr>
      <w:r>
        <w:rPr>
          <w:b/>
        </w:rPr>
        <w:t>--- END ---</w:t>
      </w:r>
    </w:p>
    <w:sectPr>
      <w:pgNumType w:start="1"/>
      <w:footerReference xmlns:r="http://schemas.openxmlformats.org/officeDocument/2006/relationships" r:id="Rdac455a670d44a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eff05530046bf" /><Relationship Type="http://schemas.openxmlformats.org/officeDocument/2006/relationships/footer" Target="/word/footer.xml" Id="Rdac455a670d44a64" /></Relationships>
</file>