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ebdd637e34be2" /></Relationships>
</file>

<file path=word/document.xml><?xml version="1.0" encoding="utf-8"?>
<w:document xmlns:w="http://schemas.openxmlformats.org/wordprocessingml/2006/main">
  <w:body>
    <w:p>
      <w:r>
        <w:t>H-1305.1</w:t>
      </w:r>
    </w:p>
    <w:p>
      <w:pPr>
        <w:jc w:val="center"/>
      </w:pPr>
      <w:r>
        <w:t>_______________________________________________</w:t>
      </w:r>
    </w:p>
    <w:p/>
    <w:p>
      <w:pPr>
        <w:jc w:val="center"/>
      </w:pPr>
      <w:r>
        <w:rPr>
          <w:b/>
        </w:rPr>
        <w:t>HOUSE BILL 1840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Frame, Springer, Orwall, Fitzgibbon, Ryu, Bergquist, Stanford, Tarleton, Goodman, Kilduff, Farrell, Fey, Haler, Slatter, and Santos</w:t>
      </w:r>
    </w:p>
    <w:p/>
    <w:p>
      <w:r>
        <w:rPr>
          <w:t xml:space="preserve">Read first time 01/31/17.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affordable access to community and technical colleges; amending RCW 43.88C.010; adding a new chapter to Title 28B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an associate's degree to enroll in and successfully complete an associate's degree or certificate that will lead to opportunities for further education and jobs. By making a higher education credential more affordable and accessible, Washington will make more progress towards the legislature's attainment goal of seventy percent of Washington adults having a postsecondary credential by 2023.</w:t>
      </w:r>
    </w:p>
    <w:p>
      <w:pPr>
        <w:spacing w:before="0" w:after="0" w:line="408" w:lineRule="exact"/>
        <w:ind w:left="0" w:right="0" w:firstLine="576"/>
        <w:jc w:val="left"/>
      </w:pPr>
      <w:r>
        <w:rPr/>
        <w:t xml:space="preserve">The legislature recognizes that increasing the number of residents with associate degrees will lead to increased attainment for higher level degrees as students may transfer to comprehensive or research universities.</w:t>
      </w:r>
    </w:p>
    <w:p>
      <w:pPr>
        <w:spacing w:before="0" w:after="0" w:line="408" w:lineRule="exact"/>
        <w:ind w:left="0" w:right="0" w:firstLine="576"/>
        <w:jc w:val="left"/>
      </w:pPr>
      <w:r>
        <w:rPr/>
        <w:t xml:space="preserve">It is the intent of the legislature to implement the Washington promise program in phases, starting with a free thirteenth year. The legislature recognizes that free thirteenth year and promise programs are proven to significantly increase high school graduation rates by ensuring all high school graduates know they can attend a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for low-income students, for foster youth, and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Washington promise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associate's degree must be enrolled in a community or technical college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2018-19 and 2019-20 academic years, eligible students shall receive an award for a free thirteenth year, or three academic quarters, if they meet the following requirements:</w:t>
      </w:r>
    </w:p>
    <w:p>
      <w:pPr>
        <w:spacing w:before="0" w:after="0" w:line="408" w:lineRule="exact"/>
        <w:ind w:left="0" w:right="0" w:firstLine="576"/>
        <w:jc w:val="left"/>
      </w:pPr>
      <w:r>
        <w:rPr/>
        <w:t xml:space="preserve">(a) Have graduated high school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(7) For the 2021-22 and 2022-23 academic years,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sixteen calendar months before enrolling in a community or technical college;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(8) Beginning with the 2023-24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(9)(a) The office shall award grants to eligible students for an amount up to the cost of tuition and fees as defined in RCW 28B.15.020, and services and activities fees as defined in RCW 28B.15.041, less all other gift aid. The student shall also receive a cost of attendance stipend if the student meets the criteria in (b) of this subsection. The calculation in this subsection (9)(a) shall not result in a reduction of gift aid.</w:t>
      </w:r>
    </w:p>
    <w:p>
      <w:pPr>
        <w:spacing w:before="0" w:after="0" w:line="408" w:lineRule="exact"/>
        <w:ind w:left="0" w:right="0" w:firstLine="576"/>
        <w:jc w:val="left"/>
      </w:pPr>
      <w:r>
        <w:rPr/>
        <w:t xml:space="preserve">(b) Up to one thousand five hundred dollars for books and other related higher education expenses must be provided as a stipend to students with a family income that does not exceed seventy percent of the state median family income. If a student eligible for the stipend under this subsection (9)(b)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(10) By December 1, 2019,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such a course during or before their first quarter of eligibility. The board shall provide the plan to the relevant committees of the legislature by December 1, 2018, and begin implementation of the plan for the 2019-20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the effectiveness of the Washington promise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and any change in need or delivery of student services. The analysis shall include the fiscal impact of the program on the students, community and technical colleges, and state. The Washington state institute for public policy shall report its findings to the relevant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3(5) of this act, the board shall provide grants to community or technical college districts to implement the free thirteenth year of the program. The community or technical college districts shall partner with local governments and private entities to secure matching funding for the free thirteenth year. The board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3ae9311932b48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b3151602c450a" /><Relationship Type="http://schemas.openxmlformats.org/officeDocument/2006/relationships/footer" Target="/word/footer.xml" Id="Rb3ae9311932b4877" /></Relationships>
</file>