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703c9569b41dd" /></Relationships>
</file>

<file path=word/document.xml><?xml version="1.0" encoding="utf-8"?>
<w:document xmlns:w="http://schemas.openxmlformats.org/wordprocessingml/2006/main">
  <w:body>
    <w:p>
      <w:r>
        <w:t>H-1275.1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Blake, Stambaugh, and Gregerson</w:t>
      </w:r>
    </w:p>
    <w:p/>
    <w:p>
      <w:r>
        <w:rPr>
          <w:t xml:space="preserve">Read first time 02/01/17.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vehicle identification of electrical contractors; and adding a new section to chapter 19.28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28</w:t>
      </w:r>
      <w:r>
        <w:rPr/>
        <w:t xml:space="preserve"> RCW</w:t>
      </w:r>
      <w:r>
        <w:rPr/>
        <w:t xml:space="preserve"> to be codified between RCW 19.28.041 and 19.28.141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Any licensed self-propelled motor vehicle used by a general or specialty electrical contractor while engaged in the electrical construction trade must be marked with the contractor's legal business name and license number issued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marking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Appear on both sides of the vehicle;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Be in letters that contrast sharply in color with the background on which the letters are placed;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Be readily legible during daylight hours from a distance of fifty feet while the vehicle is stationary;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Be kept and maintained in a manner that retains the legibility required by (c) of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marking may be affixed by adhesive, painted on the vehicle, or consist of a removable device, if the other requirements of this section are met.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8820b4781a48e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28b58b01745a2" /><Relationship Type="http://schemas.openxmlformats.org/officeDocument/2006/relationships/footer" Target="/word/footer.xml" Id="Rc38820b4781a48eb" /></Relationships>
</file>