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1a18d3858b4c3b" /></Relationships>
</file>

<file path=word/document.xml><?xml version="1.0" encoding="utf-8"?>
<w:document xmlns:w="http://schemas.openxmlformats.org/wordprocessingml/2006/main">
  <w:body>
    <w:p>
      <w:r>
        <w:t>H-1391.1</w:t>
      </w:r>
    </w:p>
    <w:p>
      <w:pPr>
        <w:jc w:val="center"/>
      </w:pPr>
      <w:r>
        <w:t>_______________________________________________</w:t>
      </w:r>
    </w:p>
    <w:p/>
    <w:p>
      <w:pPr>
        <w:jc w:val="center"/>
      </w:pPr>
      <w:r>
        <w:rPr>
          <w:b/>
        </w:rPr>
        <w:t>HOUSE BILL 1874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Klippert, Pellicciotti, Goodman, Kilduff, Ryu, Gregerson, Senn, Kagi, Haler, Stanford, Bergquist, and Farrell</w:t>
      </w:r>
    </w:p>
    <w:p/>
    <w:p>
      <w:r>
        <w:rPr>
          <w:t xml:space="preserve">Read first time 02/01/17.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blood and breath alcohol concentration of persons operating or in physical control of a vehicle, vessel, or aircraft; amending RCW 46.61.502, 38.38.760, 46.20.308, 46.20.308, 46.20.3101, 46.25.090, 46.61.504, 46.61.506, and 79A.60.040; reenacting and amending RCW 46.61.5055;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2016 c 87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760</w:t>
      </w:r>
      <w:r>
        <w:rPr/>
        <w:t xml:space="preserve"> and 2009 c 378 s 24 are each amended to read as follows:</w:t>
      </w:r>
    </w:p>
    <w:p>
      <w:pPr>
        <w:spacing w:before="0" w:after="0" w:line="408" w:lineRule="exact"/>
        <w:ind w:left="0" w:right="0" w:firstLine="576"/>
        <w:jc w:val="left"/>
      </w:pPr>
      <w:r>
        <w:rPr/>
        <w:t xml:space="preserve">(1) Any person subject to this code who:</w:t>
      </w:r>
    </w:p>
    <w:p>
      <w:pPr>
        <w:spacing w:before="0" w:after="0" w:line="408" w:lineRule="exact"/>
        <w:ind w:left="0" w:right="0" w:firstLine="576"/>
        <w:jc w:val="left"/>
      </w:pPr>
      <w:r>
        <w:rPr/>
        <w:t xml:space="preserve">(a) Operates or physically controls any vehicle, aircraft, or vessel in a reckless or wanton manner or while impaired by a substance described in RCW 38.38.762; or</w:t>
      </w:r>
    </w:p>
    <w:p>
      <w:pPr>
        <w:spacing w:before="0" w:after="0" w:line="408" w:lineRule="exact"/>
        <w:ind w:left="0" w:right="0" w:firstLine="576"/>
        <w:jc w:val="left"/>
      </w:pPr>
      <w:r>
        <w:rPr/>
        <w:t xml:space="preserve">(b) Operates or is in actual physical control of any vehicle, aircraft, or vessel while drunk or when the alcohol concentration in the person's blood or breath is equal to or exceeds the applicable limit under subsection (2) of this section; or</w:t>
      </w:r>
    </w:p>
    <w:p>
      <w:pPr>
        <w:spacing w:before="0" w:after="0" w:line="408" w:lineRule="exact"/>
        <w:ind w:left="0" w:right="0" w:firstLine="576"/>
        <w:jc w:val="left"/>
      </w:pPr>
      <w:r>
        <w:rPr/>
        <w:t xml:space="preserve">(c) Operates or is in actual physical control of any vehicle, aircraft, or vessel in a reckless or wanton manner</w:t>
      </w:r>
    </w:p>
    <w:p>
      <w:pPr>
        <w:spacing w:before="0" w:after="0" w:line="408" w:lineRule="exact"/>
        <w:ind w:left="0" w:right="0" w:firstLine="0"/>
        <w:jc w:val="left"/>
      </w:pPr>
      <w:r>
        <w:rPr/>
        <w:t xml:space="preserve">shall be punished as a court-martial may direct.</w:t>
      </w:r>
    </w:p>
    <w:p>
      <w:pPr>
        <w:spacing w:before="0" w:after="0" w:line="408" w:lineRule="exact"/>
        <w:ind w:left="0" w:right="0" w:firstLine="576"/>
        <w:jc w:val="left"/>
      </w:pPr>
      <w:r>
        <w:rPr/>
        <w:t xml:space="preserve">(2) For purposes of subsection (1) of this section, the blood alcohol content limit with respect to alcohol concentration in a person's blood is </w:t>
      </w:r>
      <w:r>
        <w:t>((</w:t>
      </w:r>
      <w:r>
        <w:rPr>
          <w:strike/>
        </w:rPr>
        <w:t xml:space="preserve">0.08</w:t>
      </w:r>
      <w:r>
        <w:t>))</w:t>
      </w:r>
      <w:r>
        <w:rPr/>
        <w:t xml:space="preserve"> </w:t>
      </w:r>
      <w:r>
        <w:rPr>
          <w:u w:val="single"/>
        </w:rPr>
        <w:t xml:space="preserve">0.05</w:t>
      </w:r>
      <w:r>
        <w:rPr/>
        <w:t xml:space="preserve"> grams of alcohol per one hundred milliliters of blood and with respect to alcohol concentration in a person's breath is </w:t>
      </w:r>
      <w:r>
        <w:t>((</w:t>
      </w:r>
      <w:r>
        <w:rPr>
          <w:strike/>
        </w:rPr>
        <w:t xml:space="preserve">0.08</w:t>
      </w:r>
      <w:r>
        <w:t>))</w:t>
      </w:r>
      <w:r>
        <w:rPr/>
        <w:t xml:space="preserve"> </w:t>
      </w:r>
      <w:r>
        <w:rPr>
          <w:u w:val="single"/>
        </w:rPr>
        <w:t xml:space="preserve">0.05</w:t>
      </w:r>
      <w:r>
        <w:rPr/>
        <w:t xml:space="preserve"> grams of alcohol per two hundred ten liters of breath, as shown by chemical analysis.</w:t>
      </w:r>
    </w:p>
    <w:p>
      <w:pPr>
        <w:spacing w:before="0" w:after="0" w:line="408" w:lineRule="exact"/>
        <w:ind w:left="0" w:right="0" w:firstLine="576"/>
        <w:jc w:val="left"/>
      </w:pPr>
      <w:r>
        <w:rPr/>
        <w:t xml:space="preserve">(3) For purposes of this section, "blood alcohol content limit" means the amount of alcohol concentration in a person's blood or breath at which operation or control of a vehicle, aircraft, or vessel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2016 c 203 s 15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2016 c 203 s 18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2013 2nd sp.s. c 35 s 10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w:t>
      </w:r>
      <w:r>
        <w:t>((</w:t>
      </w:r>
      <w:r>
        <w:rPr>
          <w:strike/>
        </w:rPr>
        <w:t xml:space="preserve">0.08</w:t>
      </w:r>
      <w:r>
        <w:t>))</w:t>
      </w:r>
      <w:r>
        <w:rPr/>
        <w:t xml:space="preserve"> </w:t>
      </w:r>
      <w:r>
        <w:rPr>
          <w:u w:val="single"/>
        </w:rPr>
        <w:t xml:space="preserve">0.05</w:t>
      </w:r>
      <w:r>
        <w:rPr/>
        <w:t xml:space="preserve">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uses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marijuana, or any drug. A person is considered to be under the influence of intoxicating liquor, marijuana, or any drug if, within two hours of operating a vessel:</w:t>
      </w:r>
    </w:p>
    <w:p>
      <w:pPr>
        <w:spacing w:before="0" w:after="0" w:line="408" w:lineRule="exact"/>
        <w:ind w:left="0" w:right="0" w:firstLine="576"/>
        <w:jc w:val="left"/>
      </w:pPr>
      <w:r>
        <w:rPr/>
        <w:t xml:space="preserve">(a) The person has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marijuana, or any drug; or</w:t>
      </w:r>
    </w:p>
    <w:p>
      <w:pPr>
        <w:spacing w:before="0" w:after="0" w:line="408" w:lineRule="exact"/>
        <w:ind w:left="0" w:right="0" w:firstLine="576"/>
        <w:jc w:val="left"/>
      </w:pPr>
      <w:r>
        <w:rPr/>
        <w:t xml:space="preserve">(d) The person is under the combined influence of or affected by intoxicating liquor, marijuana,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2019.</w:t>
      </w:r>
    </w:p>
    <w:p/>
    <w:p>
      <w:pPr>
        <w:jc w:val="center"/>
      </w:pPr>
      <w:r>
        <w:rPr>
          <w:b/>
        </w:rPr>
        <w:t>--- END ---</w:t>
      </w:r>
    </w:p>
    <w:sectPr>
      <w:pgNumType w:start="1"/>
      <w:footerReference xmlns:r="http://schemas.openxmlformats.org/officeDocument/2006/relationships" r:id="R59a344ebdfe249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e313c8b1724776" /><Relationship Type="http://schemas.openxmlformats.org/officeDocument/2006/relationships/footer" Target="/word/footer.xml" Id="R59a344ebdfe249c3" /></Relationships>
</file>