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01883c1de4dd4" /></Relationships>
</file>

<file path=word/document.xml><?xml version="1.0" encoding="utf-8"?>
<w:document xmlns:w="http://schemas.openxmlformats.org/wordprocessingml/2006/main">
  <w:body>
    <w:p>
      <w:r>
        <w:t>H-2363.1</w:t>
      </w:r>
    </w:p>
    <w:p>
      <w:pPr>
        <w:jc w:val="center"/>
      </w:pPr>
      <w:r>
        <w:t>_______________________________________________</w:t>
      </w:r>
    </w:p>
    <w:p/>
    <w:p>
      <w:pPr>
        <w:jc w:val="center"/>
      </w:pPr>
      <w:r>
        <w:rPr>
          <w:b/>
        </w:rPr>
        <w:t>SUBSTITUTE HOUSE BILL 1894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Sullivan, Wilcox, Slatter, Stokesbary, Buys, Tarleton, Senn, Haler, Goodman, and Stanford; by request of Office of Financial Management)</w:t>
      </w:r>
    </w:p>
    <w:p/>
    <w:p>
      <w:r>
        <w:rPr>
          <w:t xml:space="preserve">READ FIRST TIME 03/14/17.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certain high-technology research and development; amending RCW 82.63.010, 82.63.020, and 82.63.045; reenacting RCW 82.63.060 and 82.63.065; adding a new section to chapter 82.04 RCW; adding a new section to chapter 82.63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advanced spacecraft manufacturing, life science, and environmental technology companies performing research and development, and a sales and use tax deferral for certain construction for new and expanding companies conducting research and development in the fields of advanced spacecraft manufacturing, life science, and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advanced spacecraft manufacturing, life science, and environmental technology industries.</w:t>
      </w:r>
    </w:p>
    <w:p>
      <w:pPr>
        <w:spacing w:before="0" w:after="0" w:line="408" w:lineRule="exact"/>
        <w:ind w:left="0" w:right="0" w:firstLine="576"/>
        <w:jc w:val="left"/>
      </w:pPr>
      <w:r>
        <w:rPr/>
        <w:t xml:space="preserve">(4) If a review finds that the number of businesses participating in the credit and deferral programs has increased and the overall number of jobs for businesses participating in the credit and deferral programs performing research and development has increased by a minimum of one hundred twenty-five direct jobs and three hundred fifteen indirect jobs from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 Employment data available from the employment security department; (b) return and tax information maintained by the department of revenue; and (c) any other data as the joint legislative audit and review committee deems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2018, a credit against the tax imposed under this chapter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To be eligible for the credit under this section for research and development conducted in advanced spacecraft manufacturing, a person must, as of January 1, 2018:</w:t>
      </w:r>
    </w:p>
    <w:p>
      <w:pPr>
        <w:spacing w:before="0" w:after="0" w:line="408" w:lineRule="exact"/>
        <w:ind w:left="0" w:right="0" w:firstLine="576"/>
        <w:jc w:val="left"/>
      </w:pPr>
      <w:r>
        <w:rPr/>
        <w:t xml:space="preserve">(a) Have an active tax registration with the department; and</w:t>
      </w:r>
    </w:p>
    <w:p>
      <w:pPr>
        <w:spacing w:before="0" w:after="0" w:line="408" w:lineRule="exact"/>
        <w:ind w:left="0" w:right="0" w:firstLine="576"/>
        <w:jc w:val="left"/>
      </w:pPr>
      <w:r>
        <w:rPr/>
        <w:t xml:space="preserve">(b) Be actively engaged in advanced spacecraft manufacturing.</w:t>
      </w:r>
    </w:p>
    <w:p>
      <w:pPr>
        <w:spacing w:before="0" w:after="0" w:line="408" w:lineRule="exact"/>
        <w:ind w:left="0" w:right="0" w:firstLine="576"/>
        <w:jc w:val="left"/>
      </w:pPr>
      <w:r>
        <w:rPr/>
        <w:t xml:space="preserve">(3)(a) Any person claiming the tax credit in this section must disclose the payload of any spacecraft launched into space by that person in the same calendar year for which the credit is claimed. If the payload includes a satellite, the following must also be disclosed about the satellite:</w:t>
      </w:r>
    </w:p>
    <w:p>
      <w:pPr>
        <w:spacing w:before="0" w:after="0" w:line="408" w:lineRule="exact"/>
        <w:ind w:left="0" w:right="0" w:firstLine="576"/>
        <w:jc w:val="left"/>
      </w:pPr>
      <w:r>
        <w:rPr/>
        <w:t xml:space="preserve">(i) The true owner;</w:t>
      </w:r>
    </w:p>
    <w:p>
      <w:pPr>
        <w:spacing w:before="0" w:after="0" w:line="408" w:lineRule="exact"/>
        <w:ind w:left="0" w:right="0" w:firstLine="576"/>
        <w:jc w:val="left"/>
      </w:pPr>
      <w:r>
        <w:rPr/>
        <w:t xml:space="preserve">(ii) Capabilities; and</w:t>
      </w:r>
    </w:p>
    <w:p>
      <w:pPr>
        <w:spacing w:before="0" w:after="0" w:line="408" w:lineRule="exact"/>
        <w:ind w:left="0" w:right="0" w:firstLine="576"/>
        <w:jc w:val="left"/>
      </w:pPr>
      <w:r>
        <w:rPr/>
        <w:t xml:space="preserve">(iii) Purpose.</w:t>
      </w:r>
    </w:p>
    <w:p>
      <w:pPr>
        <w:spacing w:before="0" w:after="0" w:line="408" w:lineRule="exact"/>
        <w:ind w:left="0" w:right="0" w:firstLine="576"/>
        <w:jc w:val="left"/>
      </w:pPr>
      <w:r>
        <w:rPr/>
        <w:t xml:space="preserve">(b) Disclosure must be made to the department in a form and manner prescribed by the department. The contents of the disclosure are not considered confidential taxpayer information under RCW 84.08.210.</w:t>
      </w:r>
    </w:p>
    <w:p>
      <w:pPr>
        <w:spacing w:before="0" w:after="0" w:line="408" w:lineRule="exact"/>
        <w:ind w:left="0" w:right="0" w:firstLine="576"/>
        <w:jc w:val="left"/>
      </w:pPr>
      <w:r>
        <w:rPr/>
        <w:t xml:space="preserve">(4) Disclosure and reporting obligations in subsection (3) of this section do not apply to any payload subject to review and approval by a federal agency, if a signed attestation, which includes the reviewing agency, any review or approval, and case number or file number is provided to the department. The attestation document is not considered confidential taxpayer information under RCW 84.08.210.</w:t>
      </w:r>
    </w:p>
    <w:p>
      <w:pPr>
        <w:spacing w:before="0" w:after="0" w:line="408" w:lineRule="exact"/>
        <w:ind w:left="0" w:right="0" w:firstLine="576"/>
        <w:jc w:val="left"/>
      </w:pPr>
      <w:r>
        <w:rPr/>
        <w:t xml:space="preserve">(5) A person's credit is calculated as follows:</w:t>
      </w:r>
    </w:p>
    <w:p>
      <w:pPr>
        <w:spacing w:before="0" w:after="0" w:line="408" w:lineRule="exact"/>
        <w:ind w:left="0" w:right="0" w:firstLine="576"/>
        <w:jc w:val="left"/>
      </w:pPr>
      <w:r>
        <w:rPr/>
        <w:t xml:space="preserve">(a) Determine the greater of the amount of (i) the person's qualified research and development expenditures or (ii) eighty percent of amounts received by the person, other than a public educational or research institution, in compensation for the conduct of qualified research and development actually performed directly by the person;</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(6) Any person entitled to the credit provided in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(7) Any person entitled to a credit provided in this section may not also receive a sales and use tax deferral provided in section 5 of this act.</w:t>
      </w:r>
    </w:p>
    <w:p>
      <w:pPr>
        <w:spacing w:before="0" w:after="0" w:line="408" w:lineRule="exact"/>
        <w:ind w:left="0" w:right="0" w:firstLine="576"/>
        <w:jc w:val="left"/>
      </w:pPr>
      <w:r>
        <w:rPr/>
        <w:t xml:space="preserve">(8) The credit, including any credit assigned to a person under subsection (6) of this section, must be claimed against taxes due for the same calendar year in which the qualified research and development expenditures are incurred. The credit, including any credit assigned to a person under subsection (6) of this section, for each calendar year may not exceed the lesser of seven hundred fifty thousand dollars or the amount of tax otherwise due under this chapter for the calendar year.</w:t>
      </w:r>
    </w:p>
    <w:p>
      <w:pPr>
        <w:spacing w:before="0" w:after="0" w:line="408" w:lineRule="exact"/>
        <w:ind w:left="0" w:right="0" w:firstLine="576"/>
        <w:jc w:val="left"/>
      </w:pPr>
      <w:r>
        <w:rPr/>
        <w:t xml:space="preserve">(9)(a) Any person entitled to a credit provided in this section may not claim the credit against taxes due until the following information is provided to the department:</w:t>
      </w:r>
    </w:p>
    <w:p>
      <w:pPr>
        <w:spacing w:before="0" w:after="0" w:line="408" w:lineRule="exact"/>
        <w:ind w:left="0" w:right="0" w:firstLine="576"/>
        <w:jc w:val="left"/>
      </w:pPr>
      <w:r>
        <w:rPr/>
        <w:t xml:space="preserve">(i) The number of jobs the person intends to create as a result of receiving the credit; and</w:t>
      </w:r>
    </w:p>
    <w:p>
      <w:pPr>
        <w:spacing w:before="0" w:after="0" w:line="408" w:lineRule="exact"/>
        <w:ind w:left="0" w:right="0" w:firstLine="576"/>
        <w:jc w:val="left"/>
      </w:pPr>
      <w:r>
        <w:rPr/>
        <w:t xml:space="preserve">(ii) The type of research and development jobs the person intends to create.</w:t>
      </w:r>
    </w:p>
    <w:p>
      <w:pPr>
        <w:spacing w:before="0" w:after="0" w:line="408" w:lineRule="exact"/>
        <w:ind w:left="0" w:right="0" w:firstLine="576"/>
        <w:jc w:val="left"/>
      </w:pPr>
      <w:r>
        <w:rPr/>
        <w:t xml:space="preserve">(b) Information provided to the department under this subsection (9) does not need to be provided each time a credit is claimed under this section, but must be updated if there are any changes to the information provided.</w:t>
      </w:r>
    </w:p>
    <w:p>
      <w:pPr>
        <w:spacing w:before="0" w:after="0" w:line="408" w:lineRule="exact"/>
        <w:ind w:left="0" w:right="0" w:firstLine="576"/>
        <w:jc w:val="left"/>
      </w:pPr>
      <w:r>
        <w:rPr/>
        <w:t xml:space="preserve">(10) For any person claiming the credit, including any credit assigned to a person under subsection (6)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on the taxes against which the credit was claimed. However, the department may not assess penalties on taxes due under this subsection, unless the person who claimed the credit did not engage in any qualified research and development during the calendar year for which the tax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(6) of this section that is disallowed as a result of this subsection may be claimed by the person who performed the qualified research and development, subject to the limitations set forth in subsection (8) of this section.</w:t>
      </w:r>
    </w:p>
    <w:p>
      <w:pPr>
        <w:spacing w:before="0" w:after="0" w:line="408" w:lineRule="exact"/>
        <w:ind w:left="0" w:right="0" w:firstLine="576"/>
        <w:jc w:val="left"/>
      </w:pPr>
      <w:r>
        <w:rPr/>
        <w:t xml:space="preserve">(11) A person claiming the credit provided in this section must file a complete annual survey with the department under RCW 82.32.585.</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"Advanced spacecraft manufacturing" has the same meaning as in RCW 82.63.010.</w:t>
      </w:r>
    </w:p>
    <w:p>
      <w:pPr>
        <w:spacing w:before="0" w:after="0" w:line="408" w:lineRule="exact"/>
        <w:ind w:left="0" w:right="0" w:firstLine="576"/>
        <w:jc w:val="left"/>
      </w:pPr>
      <w:r>
        <w:rPr/>
        <w:t xml:space="preserve">(b) "Payload" has the same meaning as provided in RCW 82.63.010.</w:t>
      </w:r>
    </w:p>
    <w:p>
      <w:pPr>
        <w:spacing w:before="0" w:after="0" w:line="408" w:lineRule="exact"/>
        <w:ind w:left="0" w:right="0" w:firstLine="576"/>
        <w:jc w:val="left"/>
      </w:pPr>
      <w:r>
        <w:rPr/>
        <w:t xml:space="preserve">(c) "Qualified research and development" has the same meaning as in RCW 82.63.010.</w:t>
      </w:r>
    </w:p>
    <w:p>
      <w:pPr>
        <w:spacing w:before="0" w:after="0" w:line="408" w:lineRule="exact"/>
        <w:ind w:left="0" w:right="0" w:firstLine="576"/>
        <w:jc w:val="left"/>
      </w:pPr>
      <w:r>
        <w:rPr/>
        <w:t xml:space="preserve">(d)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(e)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(f) "Satellite" has the same meaning as provided in RCW 82.63.010.</w:t>
      </w:r>
    </w:p>
    <w:p>
      <w:pPr>
        <w:spacing w:before="0" w:after="0" w:line="408" w:lineRule="exact"/>
        <w:ind w:left="0" w:right="0" w:firstLine="576"/>
        <w:jc w:val="left"/>
      </w:pPr>
      <w:r>
        <w:rPr/>
        <w:t xml:space="preserve">(g) "Spacecraft" has the same meaning as provided in RCW 82.63.010.</w:t>
      </w:r>
    </w:p>
    <w:p>
      <w:pPr>
        <w:spacing w:before="0" w:after="0" w:line="408" w:lineRule="exact"/>
        <w:ind w:left="0" w:right="0" w:firstLine="576"/>
        <w:jc w:val="left"/>
      </w:pPr>
      <w:r>
        <w:rPr/>
        <w:t xml:space="preserve">(h)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(13)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strike/>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strike/>
        </w:rPr>
        <w:t xml:space="preserve">(3)</w:t>
      </w:r>
      <w:r>
        <w:t>))</w:t>
      </w:r>
      <w:r>
        <w:rPr/>
        <w:t xml:space="preserve"> </w:t>
      </w:r>
      <w:r>
        <w:rPr>
          <w:u w:val="single"/>
        </w:rPr>
        <w:t xml:space="preserve">(a) "Advanced spacecraft manufacturing" means the application of technologies, in the design and development of spacecraft, by a manufacturer of spacecraft.</w:t>
      </w:r>
    </w:p>
    <w:p>
      <w:pPr>
        <w:spacing w:before="0" w:after="0" w:line="408" w:lineRule="exact"/>
        <w:ind w:left="0" w:right="0" w:firstLine="576"/>
        <w:jc w:val="left"/>
      </w:pPr>
      <w:r>
        <w:rPr>
          <w:u w:val="single"/>
        </w:rPr>
        <w:t xml:space="preserve">(b) For purposes of this subsection (1), the following definitions apply:</w:t>
      </w:r>
    </w:p>
    <w:p>
      <w:pPr>
        <w:spacing w:before="0" w:after="0" w:line="408" w:lineRule="exact"/>
        <w:ind w:left="0" w:right="0" w:firstLine="576"/>
        <w:jc w:val="left"/>
      </w:pPr>
      <w:r>
        <w:rPr>
          <w:u w:val="single"/>
        </w:rPr>
        <w:t xml:space="preserve">(i) "Commercial or industrial use" and "manufacturer" have the same meaning as in chapter 82.04 RCW.</w:t>
      </w:r>
    </w:p>
    <w:p>
      <w:pPr>
        <w:spacing w:before="0" w:after="0" w:line="408" w:lineRule="exact"/>
        <w:ind w:left="0" w:right="0" w:firstLine="576"/>
        <w:jc w:val="left"/>
      </w:pPr>
      <w:r>
        <w:rPr>
          <w:u w:val="single"/>
        </w:rPr>
        <w:t xml:space="preserve">(ii) "Spacecraft" means a device, and its components, designed for suborbital space flight or to operate in, or place a payload in, outer space, including satellites, but only when such device is intended for sale or commercial or industrial use. </w:t>
      </w:r>
      <w:r>
        <w:rPr>
          <w:u w:val="single"/>
        </w:rPr>
        <w:t xml:space="preserve">For the purposes of this subsection (1)(b)(ii):</w:t>
      </w:r>
    </w:p>
    <w:p>
      <w:pPr>
        <w:spacing w:before="0" w:after="0" w:line="408" w:lineRule="exact"/>
        <w:ind w:left="0" w:right="0" w:firstLine="576"/>
        <w:jc w:val="left"/>
      </w:pPr>
      <w:r>
        <w:rPr>
          <w:u w:val="single"/>
        </w:rPr>
        <w:t xml:space="preserve">(A) "Payload" means crew, instruments, material, components, or equipment carried by a spacecraft.</w:t>
      </w:r>
    </w:p>
    <w:p>
      <w:pPr>
        <w:spacing w:before="0" w:after="0" w:line="408" w:lineRule="exact"/>
        <w:ind w:left="0" w:right="0" w:firstLine="576"/>
        <w:jc w:val="left"/>
      </w:pPr>
      <w:r>
        <w:rPr>
          <w:u w:val="single"/>
        </w:rPr>
        <w:t xml:space="preserve">(B) "Satellite" means a man-made object or vehicle intended to orbit the earth, the moon, or other celestial object, that is used to collect information and provide communication services, or perform repair, manufacturing, assembly, or transport services in the space environment.</w:t>
      </w:r>
    </w:p>
    <w:p>
      <w:pPr>
        <w:spacing w:before="0" w:after="0" w:line="408" w:lineRule="exact"/>
        <w:ind w:left="0" w:right="0" w:firstLine="576"/>
        <w:jc w:val="left"/>
      </w:pPr>
      <w:r>
        <w:rPr>
          <w:u w:val="single"/>
        </w:rPr>
        <w:t xml:space="preserve">(2)</w:t>
      </w:r>
      <w:r>
        <w:rPr/>
        <w:t xml:space="preserve"> "Applicant" means a person applying for a tax deferral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t>((</w:t>
      </w:r>
      <w:r>
        <w:rPr>
          <w:strike/>
        </w:rPr>
        <w:t xml:space="preserve">(5) "Department" means the department of revenue.</w:t>
      </w:r>
    </w:p>
    <w:p>
      <w:pPr>
        <w:spacing w:before="0" w:after="0" w:line="408" w:lineRule="exact"/>
        <w:ind w:left="0" w:right="0" w:firstLine="576"/>
        <w:jc w:val="left"/>
      </w:pPr>
      <w:r>
        <w:rPr>
          <w:strike/>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w:t>
      </w:r>
      <w:r>
        <w:t>((</w:t>
      </w:r>
      <w:r>
        <w:rPr>
          <w:strike/>
        </w:rPr>
        <w:t xml:space="preserve">(2)</w:t>
      </w:r>
      <w:r>
        <w:t>))</w:t>
      </w:r>
      <w:r>
        <w:rPr/>
        <w:t xml:space="preserve"> </w:t>
      </w:r>
      <w:r>
        <w:rPr>
          <w:u w:val="single"/>
        </w:rPr>
        <w:t xml:space="preserve">(5)</w:t>
      </w:r>
      <w:r>
        <w:rPr/>
        <w:t xml:space="preserve">;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w:t>
      </w:r>
      <w:r>
        <w:t>((</w:t>
      </w:r>
      <w:r>
        <w:rPr>
          <w:strike/>
        </w:rPr>
        <w:t xml:space="preserve">(7)</w:t>
      </w:r>
      <w:r>
        <w:t>))</w:t>
      </w:r>
      <w:r>
        <w:rPr/>
        <w:t xml:space="preserve"> </w:t>
      </w:r>
      <w:r>
        <w:rPr>
          <w:u w:val="single"/>
        </w:rPr>
        <w:t xml:space="preserve">(4)</w:t>
      </w:r>
      <w:r>
        <w:rPr/>
        <w:t xml:space="preserve">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w:t>
      </w:r>
      <w:r>
        <w:t>((</w:t>
      </w:r>
      <w:r>
        <w:rPr>
          <w:strike/>
        </w:rPr>
        <w:t xml:space="preserve">(7)</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u w:val="single"/>
        </w:rPr>
        <w:t xml:space="preserve">(8) "Life science" means the application of technologies in the fields of biotechnology and medical devices, including clinical trials and the organizing of clinical trial participants.</w:t>
      </w:r>
    </w:p>
    <w:p>
      <w:pPr>
        <w:spacing w:before="0" w:after="0" w:line="408" w:lineRule="exact"/>
        <w:ind w:left="0" w:right="0" w:firstLine="576"/>
        <w:jc w:val="left"/>
      </w:pPr>
      <w:r>
        <w:rPr>
          <w:u w:val="single"/>
        </w:rPr>
        <w:t xml:space="preserve">(9) "Meaningful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(10)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u w:val="single"/>
        </w:rPr>
        <w:t xml:space="preserve">(a) Recognized in the national formulary, or the United States pharmacopeia, or any supplement to them;</w:t>
      </w:r>
    </w:p>
    <w:p>
      <w:pPr>
        <w:spacing w:before="0" w:after="0" w:line="408" w:lineRule="exact"/>
        <w:ind w:left="0" w:right="0" w:firstLine="576"/>
        <w:jc w:val="left"/>
      </w:pPr>
      <w:r>
        <w:rPr>
          <w:u w:val="single"/>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u w:val="single"/>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(11) "Multiple qualified buildings" means qualified buildings leased to the same person when</w:t>
      </w:r>
      <w:r>
        <w:rPr>
          <w:u w:val="single"/>
        </w:rPr>
        <w:t xml:space="preserve">:</w:t>
      </w:r>
    </w:p>
    <w:p>
      <w:pPr>
        <w:spacing w:before="0" w:after="0" w:line="408" w:lineRule="exact"/>
        <w:ind w:left="0" w:right="0" w:firstLine="576"/>
        <w:jc w:val="left"/>
      </w:pPr>
      <w:r>
        <w:rPr>
          <w:u w:val="single"/>
        </w:rPr>
        <w:t xml:space="preserve">(a) S</w:t>
      </w:r>
      <w:r>
        <w:rPr/>
        <w:t xml:space="preserve">uch structures</w:t>
      </w:r>
      <w:r>
        <w:t>((</w:t>
      </w:r>
      <w:r>
        <w:rPr>
          <w:strike/>
        </w:rPr>
        <w:t xml:space="preserve">: (a)</w:t>
      </w:r>
      <w:r>
        <w:t>))</w:t>
      </w:r>
      <w:r>
        <w:rPr/>
        <w:t xml:space="preserve"> </w:t>
      </w:r>
      <w:r>
        <w:rPr>
          <w:u w:val="single"/>
        </w:rPr>
        <w:t xml:space="preserve">a</w:t>
      </w:r>
      <w:r>
        <w:rPr/>
        <w:t xml:space="preserve">re located within a five-mile radius; and</w:t>
      </w:r>
    </w:p>
    <w:p>
      <w:pPr>
        <w:spacing w:before="0" w:after="0" w:line="408" w:lineRule="exact"/>
        <w:ind w:left="0" w:right="0" w:firstLine="576"/>
        <w:jc w:val="left"/>
      </w:pPr>
      <w:r>
        <w:rPr/>
        <w:t xml:space="preserve">(b) </w:t>
      </w:r>
      <w:r>
        <w:rPr>
          <w:u w:val="single"/>
        </w:rPr>
        <w:t xml:space="preserve">T</w:t>
      </w:r>
      <w:r>
        <w:rPr/>
        <w:t xml:space="preserve">he initiation of construction of each building begins within a sixty-month period.</w:t>
      </w:r>
    </w:p>
    <w:p>
      <w:pPr>
        <w:spacing w:before="0" w:after="0" w:line="408" w:lineRule="exact"/>
        <w:ind w:left="0" w:right="0" w:firstLine="576"/>
        <w:jc w:val="left"/>
      </w:pPr>
      <w:r>
        <w:rPr/>
        <w:t xml:space="preserve">(12)</w:t>
      </w:r>
      <w:r>
        <w:rPr>
          <w:u w:val="single"/>
        </w:rPr>
        <w:t xml:space="preserve">(a)</w:t>
      </w:r>
      <w:r>
        <w:rPr/>
        <w:t xml:space="preserve"> "Person" has the meaning given in RCW 82.04.030 and includes state universities as defined in RCW 28B.10.016. </w:t>
      </w:r>
      <w:r>
        <w:rPr>
          <w:u w:val="single"/>
        </w:rPr>
        <w:t xml:space="preserve">Person also includes any affiliate of a person.</w:t>
      </w:r>
    </w:p>
    <w:p>
      <w:pPr>
        <w:spacing w:before="0" w:after="0" w:line="408" w:lineRule="exact"/>
        <w:ind w:left="0" w:right="0" w:firstLine="576"/>
        <w:jc w:val="left"/>
      </w:pPr>
      <w:r>
        <w:rPr>
          <w:u w:val="single"/>
        </w:rPr>
        <w:t xml:space="preserve">(b) For purposes of this subsection (12):</w:t>
      </w:r>
    </w:p>
    <w:p>
      <w:pPr>
        <w:spacing w:before="0" w:after="0" w:line="408" w:lineRule="exact"/>
        <w:ind w:left="0" w:right="0" w:firstLine="576"/>
        <w:jc w:val="left"/>
      </w:pPr>
      <w:r>
        <w:rPr>
          <w:u w:val="single"/>
        </w:rPr>
        <w:t xml:space="preserve">(i) "Affiliate" means a person who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(13) "Pilot scale manufacturing" means design, construction, and testing of preproduction prototypes and models in the fields of </w:t>
      </w:r>
      <w:r>
        <w:t>((</w:t>
      </w:r>
      <w:r>
        <w:rPr>
          <w:strike/>
        </w:rPr>
        <w:t xml:space="preserve">biotechnology, advanced computing, electronic device technology, advanced materials</w:t>
      </w:r>
      <w:r>
        <w:t>))</w:t>
      </w:r>
      <w:r>
        <w:rPr/>
        <w:t xml:space="preserve"> </w:t>
      </w:r>
      <w:r>
        <w:rPr>
          <w:u w:val="single"/>
        </w:rPr>
        <w:t xml:space="preserve">advanced spacecraft manufacturing, life science</w:t>
      </w:r>
      <w:r>
        <w:rPr/>
        <w:t xml:space="preserve">, and environmental technology other than for commercial sale. As used in this subsection, "commercial sale" excludes sales of prototypes or sales for market testing if the total gross receipts from such sales of the product, service, or process do not exceed </w:t>
      </w:r>
      <w:r>
        <w:t>((</w:t>
      </w:r>
      <w:r>
        <w:rPr>
          <w:strike/>
        </w:rPr>
        <w:t xml:space="preserve">one million</w:t>
      </w:r>
      <w:r>
        <w:t>))</w:t>
      </w:r>
      <w:r>
        <w:rPr/>
        <w:t xml:space="preserve"> </w:t>
      </w:r>
      <w:r>
        <w:rPr>
          <w:u w:val="single"/>
        </w:rPr>
        <w:t xml:space="preserve">seven hundred fifty thousand</w:t>
      </w:r>
      <w:r>
        <w:rPr/>
        <w:t xml:space="preserve">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w:t>
      </w:r>
      <w:r>
        <w:t>((</w:t>
      </w:r>
      <w:r>
        <w:rPr>
          <w:strike/>
        </w:rPr>
        <w:t xml:space="preserve">shall</w:t>
      </w:r>
      <w:r>
        <w:t>))</w:t>
      </w:r>
      <w:r>
        <w:rPr/>
        <w:t xml:space="preserve"> </w:t>
      </w:r>
      <w:r>
        <w:rPr>
          <w:u w:val="single"/>
        </w:rPr>
        <w:t xml:space="preserve">must</w:t>
      </w:r>
      <w:r>
        <w:rPr/>
        <w:t xml:space="preserve">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w:t>
      </w:r>
      <w:r>
        <w:t>((</w:t>
      </w:r>
      <w:r>
        <w:rPr>
          <w:strike/>
        </w:rPr>
        <w:t xml:space="preserve">advanced computing, advanced materials, biotechnology, electronic device technology</w:t>
      </w:r>
      <w:r>
        <w:t>))</w:t>
      </w:r>
      <w:r>
        <w:rPr/>
        <w:t xml:space="preserve"> </w:t>
      </w:r>
      <w:r>
        <w:rPr>
          <w:u w:val="single"/>
        </w:rPr>
        <w:t xml:space="preserve">advanced spacecraft manufacturing, life science</w:t>
      </w:r>
      <w:r>
        <w:rPr/>
        <w:t xml:space="preserve">,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w:t>
      </w:r>
      <w:r>
        <w:rPr>
          <w:u w:val="single"/>
        </w:rPr>
        <w:t xml:space="preserve">, including clinical trials and organization of clinical trial participants</w:t>
      </w:r>
      <w:r>
        <w:rPr/>
        <w:t xml:space="preserv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w:t>
      </w:r>
      <w:r>
        <w:rPr>
          <w:u w:val="single"/>
        </w:rPr>
        <w:t xml:space="preserve">A person is not eligible for a tax deferral under this chapter for an investment project to be used for research and development performed within this state in advanced spacecraft manufacturing unless, as of January 1, 2018, the person:</w:t>
      </w:r>
    </w:p>
    <w:p>
      <w:pPr>
        <w:spacing w:before="0" w:after="0" w:line="408" w:lineRule="exact"/>
        <w:ind w:left="0" w:right="0" w:firstLine="576"/>
        <w:jc w:val="left"/>
      </w:pPr>
      <w:r>
        <w:rPr>
          <w:u w:val="single"/>
        </w:rPr>
        <w:t xml:space="preserve">(a) Has an active tax registration with the department; and</w:t>
      </w:r>
    </w:p>
    <w:p>
      <w:pPr>
        <w:spacing w:before="0" w:after="0" w:line="408" w:lineRule="exact"/>
        <w:ind w:left="0" w:right="0" w:firstLine="576"/>
        <w:jc w:val="left"/>
      </w:pPr>
      <w:r>
        <w:rPr>
          <w:u w:val="single"/>
        </w:rPr>
        <w:t xml:space="preserve">(b) Is actively engaged in advanced spacecraft manufacturing.</w:t>
      </w:r>
    </w:p>
    <w:p>
      <w:pPr>
        <w:spacing w:before="0" w:after="0" w:line="408" w:lineRule="exact"/>
        <w:ind w:left="0" w:right="0" w:firstLine="576"/>
        <w:jc w:val="left"/>
      </w:pPr>
      <w:r>
        <w:rPr>
          <w:u w:val="single"/>
        </w:rPr>
        <w:t xml:space="preserve">(2)(a)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w:t>
      </w:r>
      <w:r>
        <w:rPr>
          <w:u w:val="single"/>
        </w:rPr>
        <w:t xml:space="preserve">, and must be received by the department before January 1, 2015</w:t>
      </w:r>
      <w:r>
        <w:rPr/>
        <w:t xml:space="preserve">.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 </w:t>
      </w:r>
      <w:r>
        <w:rPr>
          <w:u w:val="single"/>
        </w:rPr>
        <w:t xml:space="preserve">The department must deny any applications received between January 1, 2015, and December 31, 2017, inclusive, or after October 31, 2026. For investment projects involving multiple qualified buildings, the department must deny any applications received after December 31, 2015.</w:t>
      </w:r>
    </w:p>
    <w:p>
      <w:pPr>
        <w:spacing w:before="0" w:after="0" w:line="408" w:lineRule="exact"/>
        <w:ind w:left="0" w:right="0" w:firstLine="576"/>
        <w:jc w:val="left"/>
      </w:pPr>
      <w:r>
        <w:rPr>
          <w:u w:val="single"/>
        </w:rPr>
        <w:t xml:space="preserve">(b) Nothing in this subsection (2)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(3)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(4)(a)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Each recipient of a deferral of taxes under this chapter must file a complete annual survey with the department under RCW 82.32.585. If the economic benefits of the deferral are passed to a lessee as provided in RCW 82.63.010</w:t>
      </w:r>
      <w:r>
        <w:t>((</w:t>
      </w:r>
      <w:r>
        <w:rPr>
          <w:strike/>
        </w:rPr>
        <w:t xml:space="preserve">(7)</w:t>
      </w:r>
      <w:r>
        <w:t>))</w:t>
      </w:r>
      <w:r>
        <w:rPr/>
        <w:t xml:space="preserve"> </w:t>
      </w:r>
      <w:r>
        <w:rPr>
          <w:u w:val="single"/>
        </w:rPr>
        <w:t xml:space="preserve">(4)</w:t>
      </w:r>
      <w:r>
        <w:rPr/>
        <w:t xml:space="preserve">, the lessee must file a complete annual survey, and the applicant is not required to file the annual survey.</w:t>
      </w:r>
    </w:p>
    <w:p>
      <w:pPr>
        <w:spacing w:before="0" w:after="0" w:line="408" w:lineRule="exact"/>
        <w:ind w:left="0" w:right="0" w:firstLine="576"/>
        <w:jc w:val="left"/>
      </w:pPr>
      <w:r>
        <w:t>((</w:t>
      </w:r>
      <w:r>
        <w:rPr>
          <w:strike/>
        </w:rPr>
        <w:t xml:space="preserve">(3)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(1)(a) Except as otherwise provided in this section,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(b) The amount of tax imposed under chapters 82.08 and 82.12 RCW eligible for deferral under a certificate issued pursuant to this section is limited to seven hundred fifty thousand dollars per eligible investment project per person. Once a person reaches the seven hundred fifty thousand dollar limit in this subsection (1)(b), the person may no longer defer under this chapter any state or local sales or use taxes due on the eligible investment project.</w:t>
      </w:r>
    </w:p>
    <w:p>
      <w:pPr>
        <w:spacing w:before="0" w:after="0" w:line="408" w:lineRule="exact"/>
        <w:ind w:left="0" w:right="0" w:firstLine="576"/>
        <w:jc w:val="left"/>
      </w:pPr>
      <w:r>
        <w:rPr/>
        <w:t xml:space="preserve">(2) The department may not issue deferral certificates under this section before January 1, 2018.</w:t>
      </w:r>
    </w:p>
    <w:p>
      <w:pPr>
        <w:spacing w:before="0" w:after="0" w:line="408" w:lineRule="exact"/>
        <w:ind w:left="0" w:right="0" w:firstLine="576"/>
        <w:jc w:val="left"/>
      </w:pPr>
      <w:r>
        <w:rPr/>
        <w:t xml:space="preserve">(3) Only one eligible investment project per person qualifies for a deferral certificate under this section during a calendar year.</w:t>
      </w:r>
    </w:p>
    <w:p>
      <w:pPr>
        <w:spacing w:before="0" w:after="0" w:line="408" w:lineRule="exact"/>
        <w:ind w:left="0" w:right="0" w:firstLine="576"/>
        <w:jc w:val="left"/>
      </w:pPr>
      <w:r>
        <w:rPr/>
        <w:t xml:space="preserve">(4)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(5) Any person receiving a deferral provided in this section may not also receive a business and occupation tax credit provided in section 2 of this act.</w:t>
      </w:r>
    </w:p>
    <w:p>
      <w:pPr>
        <w:spacing w:before="0" w:after="0" w:line="408" w:lineRule="exact"/>
        <w:ind w:left="0" w:right="0" w:firstLine="576"/>
        <w:jc w:val="left"/>
      </w:pPr>
      <w:r>
        <w:rPr/>
        <w:t xml:space="preserve">(6)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w:t>
      </w:r>
      <w:r>
        <w:t>((</w:t>
      </w:r>
      <w:r>
        <w:rPr>
          <w:strike/>
        </w:rPr>
        <w:t xml:space="preserve">(7)</w:t>
      </w:r>
      <w:r>
        <w:t>))</w:t>
      </w:r>
      <w:r>
        <w:rPr/>
        <w:t xml:space="preserve"> </w:t>
      </w:r>
      <w:r>
        <w:rPr>
          <w:u w:val="single"/>
        </w:rPr>
        <w:t xml:space="preserve">(4)</w:t>
      </w:r>
      <w:r>
        <w:rPr/>
        <w:t xml:space="preserve">,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w:t>
      </w:r>
      <w:r>
        <w:t>((</w:t>
      </w:r>
      <w:r>
        <w:rPr>
          <w:strike/>
        </w:rPr>
        <w:t xml:space="preserve">the department certifies</w:t>
      </w:r>
      <w:r>
        <w:t>))</w:t>
      </w:r>
      <w:r>
        <w:rPr/>
        <w:t xml:space="preserve"> that the project is operationally complete </w:t>
      </w:r>
      <w:r>
        <w:rPr>
          <w:u w:val="single"/>
        </w:rPr>
        <w:t xml:space="preserve">as certified by the department</w:t>
      </w:r>
      <w:r>
        <w:rPr/>
        <w:t xml:space="preserve">.</w:t>
      </w:r>
    </w:p>
    <w:p>
      <w:pPr>
        <w:spacing w:before="0" w:after="0" w:line="408" w:lineRule="exact"/>
        <w:ind w:left="0" w:right="0" w:firstLine="576"/>
        <w:jc w:val="left"/>
      </w:pPr>
      <w:r>
        <w:rPr/>
        <w:t xml:space="preserve">(b) This subsection does not relieve the lessors of its obligation to the lessee under RCW 82.63.010</w:t>
      </w:r>
      <w:r>
        <w:t>((</w:t>
      </w:r>
      <w:r>
        <w:rPr>
          <w:strike/>
        </w:rPr>
        <w:t xml:space="preserve">(7)</w:t>
      </w:r>
      <w:r>
        <w:t>))</w:t>
      </w:r>
      <w:r>
        <w:rPr/>
        <w:t xml:space="preserve"> </w:t>
      </w:r>
      <w:r>
        <w:rPr>
          <w:u w:val="single"/>
        </w:rPr>
        <w:t xml:space="preserve">(4)</w:t>
      </w:r>
      <w:r>
        <w:rPr/>
        <w:t xml:space="preserve">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w:t>
      </w:r>
      <w:r>
        <w:rPr>
          <w:u w:val="single"/>
        </w:rPr>
        <w:t xml:space="preserve">, unless the successor does not agree in writing with the department to be bound by the eligibility requirements of this chapter</w:t>
      </w:r>
      <w:r>
        <w:rPr/>
        <w:t xml:space="preserve">.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82.32.585,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060</w:t>
      </w:r>
      <w:r>
        <w:rPr/>
        <w:t xml:space="preserve"> and 1994 sp.s. c 5 s 8 are each reenacted to read as follows:</w:t>
      </w:r>
    </w:p>
    <w:p>
      <w:pPr>
        <w:spacing w:before="0" w:after="0" w:line="408" w:lineRule="exact"/>
        <w:ind w:left="0" w:right="0" w:firstLine="576"/>
        <w:jc w:val="left"/>
      </w:pP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065</w:t>
      </w:r>
      <w:r>
        <w:rPr/>
        <w:t xml:space="preserve"> and 2009 c 268 s 6 are each reenacted to read as follows:</w:t>
      </w:r>
    </w:p>
    <w:p>
      <w:pPr>
        <w:spacing w:before="0" w:after="0" w:line="408" w:lineRule="exact"/>
        <w:ind w:left="0" w:right="0" w:firstLine="576"/>
        <w:jc w:val="left"/>
      </w:pPr>
      <w:r>
        <w:rPr/>
        <w:t xml:space="preserve">The department may adopt rules as may be necessary to administer this chapter.</w:t>
      </w:r>
    </w:p>
    <w:p/>
    <w:p>
      <w:pPr>
        <w:jc w:val="center"/>
      </w:pPr>
      <w:r>
        <w:rPr>
          <w:b/>
        </w:rPr>
        <w:t>--- END ---</w:t>
      </w:r>
    </w:p>
    <w:sectPr>
      <w:pgNumType w:start="1"/>
      <w:footerReference xmlns:r="http://schemas.openxmlformats.org/officeDocument/2006/relationships" r:id="R6951786b86fb4f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0fe6122ca45e9" /><Relationship Type="http://schemas.openxmlformats.org/officeDocument/2006/relationships/footer" Target="/word/footer.xml" Id="R6951786b86fb4f3e" /></Relationships>
</file>